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B3E2" w14:textId="05C9F1D7" w:rsidR="005D7632" w:rsidRDefault="00DB26D7" w:rsidP="00863750">
      <w:pPr>
        <w:spacing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noProof/>
          <w:color w:val="111111"/>
          <w:sz w:val="20"/>
          <w:szCs w:val="20"/>
          <w:shd w:val="clear" w:color="auto" w:fill="FFFFFF"/>
          <w:lang w:eastAsia="fr-FR"/>
        </w:rPr>
        <w:drawing>
          <wp:inline distT="0" distB="0" distL="0" distR="0" wp14:anchorId="2F4F7AE8" wp14:editId="61F20D79">
            <wp:extent cx="1263595" cy="9352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95" cy="93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3A6E" w14:textId="77777777" w:rsidR="00895731" w:rsidRDefault="00895731" w:rsidP="00895731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</w:p>
    <w:p w14:paraId="1B8C0DB2" w14:textId="77777777" w:rsidR="00895731" w:rsidRDefault="00895731" w:rsidP="00895731">
      <w:pPr>
        <w:pStyle w:val="NormalWeb"/>
        <w:spacing w:before="0" w:beforeAutospacing="0" w:after="0" w:afterAutospacing="0"/>
        <w:ind w:left="720"/>
        <w:jc w:val="right"/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  <w:t>Délégation Académique pour les Arts et la Culture</w:t>
      </w:r>
    </w:p>
    <w:p w14:paraId="4427AF33" w14:textId="5BAE8649" w:rsidR="00726F94" w:rsidRDefault="00895731" w:rsidP="00895731">
      <w:pPr>
        <w:pStyle w:val="NormalWeb"/>
        <w:spacing w:before="0" w:beforeAutospacing="0" w:after="0" w:afterAutospacing="0"/>
        <w:ind w:left="720"/>
        <w:jc w:val="right"/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  <w:t>Rectorat de Bordeaux</w:t>
      </w:r>
    </w:p>
    <w:p w14:paraId="76255810" w14:textId="2E9182BA" w:rsidR="00726F94" w:rsidRPr="00570BBF" w:rsidRDefault="00726F94" w:rsidP="00726F94">
      <w:pPr>
        <w:pStyle w:val="NormalWeb"/>
        <w:spacing w:before="0" w:beforeAutospacing="0" w:after="0" w:afterAutospacing="0"/>
        <w:jc w:val="right"/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</w:p>
    <w:p w14:paraId="6A3D3F34" w14:textId="20032A12" w:rsidR="00F141E9" w:rsidRDefault="00F141E9" w:rsidP="00863750">
      <w:pPr>
        <w:spacing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shd w:val="clear" w:color="auto" w:fill="FFFFFF"/>
          <w:lang w:eastAsia="fr-FR"/>
        </w:rPr>
      </w:pPr>
    </w:p>
    <w:p w14:paraId="3471C760" w14:textId="77777777" w:rsidR="00E32190" w:rsidRDefault="00E32190" w:rsidP="00863750">
      <w:pPr>
        <w:spacing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shd w:val="clear" w:color="auto" w:fill="FFFFFF"/>
          <w:lang w:eastAsia="fr-FR"/>
        </w:rPr>
      </w:pPr>
    </w:p>
    <w:p w14:paraId="79B363AE" w14:textId="77777777" w:rsidR="007E226E" w:rsidRPr="00FE4967" w:rsidRDefault="005D7632" w:rsidP="000A6467">
      <w:pPr>
        <w:spacing w:beforeAutospacing="1" w:after="0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E4967">
        <w:rPr>
          <w:rFonts w:ascii="Segoe UI" w:eastAsia="Times New Roman" w:hAnsi="Segoe UI" w:cs="Segoe UI"/>
          <w:b/>
          <w:bCs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APPEL A PROJETS EAC 2024-2025</w:t>
      </w:r>
    </w:p>
    <w:p w14:paraId="38BC02F4" w14:textId="3CB71846" w:rsidR="00E32190" w:rsidRPr="00E6551F" w:rsidRDefault="00FE4967" w:rsidP="000A6467">
      <w:pPr>
        <w:spacing w:beforeAutospacing="1" w:after="0" w:line="240" w:lineRule="auto"/>
        <w:jc w:val="center"/>
        <w:rPr>
          <w:rFonts w:ascii="Segoe UI" w:eastAsia="Times New Roman" w:hAnsi="Segoe UI" w:cs="Segoe UI"/>
          <w:b/>
          <w:bCs/>
          <w:color w:val="A5A5A5" w:themeColor="accent3"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6551F">
        <w:rPr>
          <w:rFonts w:ascii="Segoe UI" w:eastAsia="Times New Roman" w:hAnsi="Segoe UI" w:cs="Segoe UI"/>
          <w:b/>
          <w:bCs/>
          <w:color w:val="A5A5A5" w:themeColor="accent3"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Ecoles et établissements </w:t>
      </w:r>
      <w:r w:rsidR="008B19C3">
        <w:rPr>
          <w:rFonts w:ascii="Segoe UI" w:eastAsia="Times New Roman" w:hAnsi="Segoe UI" w:cs="Segoe UI"/>
          <w:b/>
          <w:bCs/>
          <w:color w:val="A5A5A5" w:themeColor="accent3"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scolaires </w:t>
      </w:r>
      <w:r w:rsidRPr="00E6551F">
        <w:rPr>
          <w:rFonts w:ascii="Segoe UI" w:eastAsia="Times New Roman" w:hAnsi="Segoe UI" w:cs="Segoe UI"/>
          <w:b/>
          <w:bCs/>
          <w:color w:val="A5A5A5" w:themeColor="accent3"/>
          <w:sz w:val="32"/>
          <w:szCs w:val="32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publics et privés </w:t>
      </w:r>
    </w:p>
    <w:p w14:paraId="55F44D54" w14:textId="7F506726" w:rsidR="007E226E" w:rsidRDefault="00FE4967" w:rsidP="00E32190">
      <w:pPr>
        <w:spacing w:beforeAutospacing="1" w:after="0" w:line="240" w:lineRule="auto"/>
        <w:jc w:val="center"/>
        <w:rPr>
          <w:rFonts w:ascii="Segoe UI" w:eastAsia="Times New Roman" w:hAnsi="Segoe UI" w:cs="Segoe UI"/>
          <w:b/>
          <w:bCs/>
          <w:color w:val="A5A5A5" w:themeColor="accent3"/>
          <w:sz w:val="28"/>
          <w:szCs w:val="28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6467">
        <w:rPr>
          <w:rFonts w:ascii="Segoe UI" w:eastAsia="Times New Roman" w:hAnsi="Segoe UI" w:cs="Segoe UI"/>
          <w:b/>
          <w:bCs/>
          <w:color w:val="A5A5A5" w:themeColor="accent3"/>
          <w:sz w:val="28"/>
          <w:szCs w:val="28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PREMIER et SECOND </w:t>
      </w:r>
      <w:r w:rsidR="007E226E" w:rsidRPr="000A6467">
        <w:rPr>
          <w:rFonts w:ascii="Segoe UI" w:eastAsia="Times New Roman" w:hAnsi="Segoe UI" w:cs="Segoe UI"/>
          <w:b/>
          <w:bCs/>
          <w:color w:val="A5A5A5" w:themeColor="accent3"/>
          <w:sz w:val="28"/>
          <w:szCs w:val="28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DEGRE</w:t>
      </w:r>
      <w:r w:rsidR="00E32190">
        <w:rPr>
          <w:rFonts w:ascii="Segoe UI" w:eastAsia="Times New Roman" w:hAnsi="Segoe UI" w:cs="Segoe UI"/>
          <w:b/>
          <w:bCs/>
          <w:color w:val="A5A5A5" w:themeColor="accent3"/>
          <w:sz w:val="28"/>
          <w:szCs w:val="28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</w:p>
    <w:p w14:paraId="3A8F4FBD" w14:textId="77777777" w:rsidR="006C59CE" w:rsidRPr="000A6467" w:rsidRDefault="006C59CE" w:rsidP="00895731">
      <w:pPr>
        <w:spacing w:beforeAutospacing="1" w:after="0" w:line="240" w:lineRule="auto"/>
        <w:rPr>
          <w:rFonts w:ascii="Segoe UI" w:eastAsia="Times New Roman" w:hAnsi="Segoe UI" w:cs="Segoe UI"/>
          <w:b/>
          <w:bCs/>
          <w:color w:val="A5A5A5" w:themeColor="accent3"/>
          <w:sz w:val="28"/>
          <w:szCs w:val="28"/>
          <w:shd w:val="clear" w:color="auto" w:fill="FFFFFF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0AA775" w14:textId="278B4865" w:rsidR="006C59CE" w:rsidRPr="006C59CE" w:rsidRDefault="006C59CE" w:rsidP="007C2FDE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>L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>a délégation académique pour les Arts et la Culture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>(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>DAAC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>)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de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 xml:space="preserve"> l’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académie de Bordeaux, avec la DRAC et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les partenaires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territoria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ux et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culturels, s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>e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mobilis</w:t>
      </w:r>
      <w:r w:rsidR="00895731">
        <w:rPr>
          <w:rFonts w:ascii="Segoe UI" w:eastAsia="Times New Roman" w:hAnsi="Segoe UI" w:cs="Segoe UI"/>
          <w:shd w:val="clear" w:color="auto" w:fill="FFFFFF"/>
          <w:lang w:eastAsia="fr-FR"/>
        </w:rPr>
        <w:t>e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, ce troisième trimestre, pour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contribuer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activement à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>la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recherche d'actions et d'activités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EAC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> dans</w:t>
      </w:r>
      <w:r w:rsidR="00A261CD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une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ambition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réaffirmée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au service de l’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>éducation artistique et culturelle</w:t>
      </w:r>
      <w:r w:rsidR="00A261CD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en 2024-2025</w:t>
      </w:r>
      <w:r w:rsidRPr="006C59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. </w:t>
      </w:r>
    </w:p>
    <w:p w14:paraId="54DA843F" w14:textId="30FB6C53" w:rsidR="002B66BB" w:rsidRPr="002B66BB" w:rsidRDefault="007B2BDC" w:rsidP="00E32190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shd w:val="clear" w:color="auto" w:fill="FFFFFF"/>
          <w:lang w:eastAsia="fr-FR"/>
        </w:rPr>
        <w:t>Ainsi, les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professeures et les professeurs </w:t>
      </w:r>
      <w:r w:rsidR="006C59CE" w:rsidRPr="006C59CE">
        <w:rPr>
          <w:rFonts w:ascii="Segoe UI" w:eastAsia="Times New Roman" w:hAnsi="Segoe UI" w:cs="Segoe UI"/>
          <w:shd w:val="clear" w:color="auto" w:fill="FFFFFF"/>
          <w:lang w:eastAsia="fr-FR"/>
        </w:rPr>
        <w:t>bénéficieront d'un appel à projets (AAP) nourri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par ces collaborations</w:t>
      </w:r>
      <w:r w:rsidR="00A261CD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institutionnelles et associatives</w:t>
      </w:r>
      <w:r>
        <w:rPr>
          <w:rFonts w:ascii="Segoe UI" w:eastAsia="Times New Roman" w:hAnsi="Segoe UI" w:cs="Segoe UI"/>
          <w:shd w:val="clear" w:color="auto" w:fill="FFFFFF"/>
          <w:lang w:eastAsia="fr-FR"/>
        </w:rPr>
        <w:t xml:space="preserve"> (« projets clés en mains »)</w:t>
      </w:r>
      <w:r w:rsidR="00A261CD" w:rsidRPr="002B66BB">
        <w:rPr>
          <w:rFonts w:ascii="Segoe UI" w:eastAsia="Times New Roman" w:hAnsi="Segoe UI" w:cs="Segoe UI"/>
          <w:shd w:val="clear" w:color="auto" w:fill="FFFFFF"/>
          <w:lang w:eastAsia="fr-FR"/>
        </w:rPr>
        <w:t>,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mais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également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ouvert à leurs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propres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initiatives</w:t>
      </w:r>
      <w:r>
        <w:rPr>
          <w:rFonts w:ascii="Segoe UI" w:eastAsia="Times New Roman" w:hAnsi="Segoe UI" w:cs="Segoe UI"/>
          <w:shd w:val="clear" w:color="auto" w:fill="FFFFFF"/>
          <w:lang w:eastAsia="fr-FR"/>
        </w:rPr>
        <w:t xml:space="preserve"> ( « projets libres »)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. </w:t>
      </w:r>
    </w:p>
    <w:p w14:paraId="08ACC232" w14:textId="3DFD762D" w:rsidR="007E226E" w:rsidRPr="002B66BB" w:rsidRDefault="00A261CD" w:rsidP="00E32190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C’est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bien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la 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construction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commune 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>par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tous les 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acteurs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d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>’une offre généreuse d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’EAC qui permettra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>, à terme, à travers les projets que vous conduirez,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de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confronter encore davantage d’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élève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s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, à la rentrée prochaine,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à l’esprit de découverte,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à 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la démarche créative, 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à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l’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>échange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, 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à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l’approche critique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>,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à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l’expression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et la pratique </w:t>
      </w:r>
      <w:r w:rsidR="00E32190" w:rsidRPr="002B66BB">
        <w:rPr>
          <w:rFonts w:ascii="Segoe UI" w:eastAsia="Times New Roman" w:hAnsi="Segoe UI" w:cs="Segoe UI"/>
          <w:shd w:val="clear" w:color="auto" w:fill="FFFFFF"/>
          <w:lang w:eastAsia="fr-FR"/>
        </w:rPr>
        <w:t>pour lesquel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>s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l’appui pédagogique</w:t>
      </w:r>
      <w:r w:rsidR="002B66BB"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reste essentiel à la mise en œuvre</w:t>
      </w:r>
      <w:r w:rsidR="007C2FDE" w:rsidRPr="002B66BB">
        <w:rPr>
          <w:rFonts w:ascii="Segoe UI" w:eastAsia="Times New Roman" w:hAnsi="Segoe UI" w:cs="Segoe UI"/>
          <w:shd w:val="clear" w:color="auto" w:fill="FFFFFF"/>
          <w:lang w:eastAsia="fr-FR"/>
        </w:rPr>
        <w:t>.</w:t>
      </w:r>
      <w:r w:rsidRP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</w:p>
    <w:p w14:paraId="05545625" w14:textId="0CC1F7BA" w:rsidR="00E32190" w:rsidRDefault="007E226E" w:rsidP="00726F94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F726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L’appel à projet annuel </w:t>
      </w:r>
      <w:r w:rsidR="002B66BB">
        <w:rPr>
          <w:rFonts w:ascii="Segoe UI" w:eastAsia="Times New Roman" w:hAnsi="Segoe UI" w:cs="Segoe UI"/>
          <w:shd w:val="clear" w:color="auto" w:fill="FFFFFF"/>
          <w:lang w:eastAsia="fr-FR"/>
        </w:rPr>
        <w:t>s’ouvre</w:t>
      </w:r>
      <w:r w:rsidRPr="00F726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 xml:space="preserve">de la </w:t>
      </w:r>
      <w:r w:rsidR="007B2BDC" w:rsidRPr="007B2BDC">
        <w:rPr>
          <w:rFonts w:ascii="Segoe UI" w:eastAsia="Times New Roman" w:hAnsi="Segoe UI" w:cs="Segoe UI"/>
          <w:u w:val="single"/>
          <w:shd w:val="clear" w:color="auto" w:fill="FFFFFF"/>
          <w:lang w:eastAsia="fr-FR"/>
        </w:rPr>
        <w:t>mi-</w:t>
      </w:r>
      <w:r w:rsidRPr="007B2BDC">
        <w:rPr>
          <w:rFonts w:ascii="Segoe UI" w:eastAsia="Times New Roman" w:hAnsi="Segoe UI" w:cs="Segoe UI"/>
          <w:u w:val="single"/>
          <w:shd w:val="clear" w:color="auto" w:fill="FFFFFF"/>
          <w:lang w:eastAsia="fr-FR"/>
        </w:rPr>
        <w:t xml:space="preserve"> mai </w:t>
      </w:r>
      <w:r w:rsidR="007B2BDC">
        <w:rPr>
          <w:rFonts w:ascii="Segoe UI" w:eastAsia="Times New Roman" w:hAnsi="Segoe UI" w:cs="Segoe UI"/>
          <w:u w:val="single"/>
          <w:shd w:val="clear" w:color="auto" w:fill="FFFFFF"/>
          <w:lang w:eastAsia="fr-FR"/>
        </w:rPr>
        <w:t>à la mi-juin</w:t>
      </w:r>
      <w:r w:rsidRPr="007B2BDC">
        <w:rPr>
          <w:rFonts w:ascii="Segoe UI" w:eastAsia="Times New Roman" w:hAnsi="Segoe UI" w:cs="Segoe UI"/>
          <w:u w:val="single"/>
          <w:shd w:val="clear" w:color="auto" w:fill="FFFFFF"/>
          <w:lang w:eastAsia="fr-FR"/>
        </w:rPr>
        <w:t xml:space="preserve"> 2024</w:t>
      </w:r>
      <w:r w:rsidR="002B66BB" w:rsidRPr="007B2BDC">
        <w:rPr>
          <w:rFonts w:ascii="Segoe UI" w:eastAsia="Times New Roman" w:hAnsi="Segoe UI" w:cs="Segoe UI"/>
          <w:u w:val="single"/>
          <w:shd w:val="clear" w:color="auto" w:fill="FFFFFF"/>
          <w:lang w:eastAsia="fr-FR"/>
        </w:rPr>
        <w:t>,</w:t>
      </w:r>
      <w:r w:rsidRPr="00F726CE">
        <w:rPr>
          <w:rFonts w:ascii="Segoe UI" w:eastAsia="Times New Roman" w:hAnsi="Segoe UI" w:cs="Segoe UI"/>
          <w:shd w:val="clear" w:color="auto" w:fill="FFFFFF"/>
          <w:lang w:eastAsia="fr-FR"/>
        </w:rPr>
        <w:t xml:space="preserve"> pour </w:t>
      </w:r>
      <w:r w:rsid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vous permettre d’inscrire les classes dans les </w:t>
      </w:r>
      <w:r w:rsidR="00863750" w:rsidRPr="00863750">
        <w:rPr>
          <w:rFonts w:ascii="Segoe UI" w:eastAsia="Times New Roman" w:hAnsi="Segoe UI" w:cs="Segoe UI"/>
          <w:shd w:val="clear" w:color="auto" w:fill="FFFFFF"/>
          <w:lang w:eastAsia="fr-FR"/>
        </w:rPr>
        <w:t xml:space="preserve">actions et </w:t>
      </w:r>
      <w:r w:rsidR="002B66BB">
        <w:rPr>
          <w:rFonts w:ascii="Segoe UI" w:eastAsia="Times New Roman" w:hAnsi="Segoe UI" w:cs="Segoe UI"/>
          <w:shd w:val="clear" w:color="auto" w:fill="FFFFFF"/>
          <w:lang w:eastAsia="fr-FR"/>
        </w:rPr>
        <w:t>l</w:t>
      </w:r>
      <w:r w:rsidR="00726F94">
        <w:rPr>
          <w:rFonts w:ascii="Segoe UI" w:eastAsia="Times New Roman" w:hAnsi="Segoe UI" w:cs="Segoe UI"/>
          <w:shd w:val="clear" w:color="auto" w:fill="FFFFFF"/>
          <w:lang w:eastAsia="fr-FR"/>
        </w:rPr>
        <w:t xml:space="preserve">es </w:t>
      </w:r>
      <w:r w:rsidR="00863750" w:rsidRPr="00863750">
        <w:rPr>
          <w:rFonts w:ascii="Segoe UI" w:eastAsia="Times New Roman" w:hAnsi="Segoe UI" w:cs="Segoe UI"/>
          <w:shd w:val="clear" w:color="auto" w:fill="FFFFFF"/>
          <w:lang w:eastAsia="fr-FR"/>
        </w:rPr>
        <w:t>activités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 xml:space="preserve"> d</w:t>
      </w:r>
      <w:r w:rsidR="00863750" w:rsidRPr="00863750">
        <w:rPr>
          <w:rFonts w:ascii="Segoe UI" w:eastAsia="Times New Roman" w:hAnsi="Segoe UI" w:cs="Segoe UI"/>
          <w:shd w:val="clear" w:color="auto" w:fill="FFFFFF"/>
          <w:lang w:eastAsia="fr-FR"/>
        </w:rPr>
        <w:t>'éducation artistique et culturelle 2024-2025</w:t>
      </w:r>
      <w:r w:rsidR="002B66BB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7B2BDC">
        <w:rPr>
          <w:rFonts w:ascii="Segoe UI" w:eastAsia="Times New Roman" w:hAnsi="Segoe UI" w:cs="Segoe UI"/>
          <w:shd w:val="clear" w:color="auto" w:fill="FFFFFF"/>
          <w:lang w:eastAsia="fr-FR"/>
        </w:rPr>
        <w:t xml:space="preserve">les plus diverses, </w:t>
      </w:r>
      <w:r w:rsidR="002B66BB">
        <w:rPr>
          <w:rFonts w:ascii="Segoe UI" w:eastAsia="Times New Roman" w:hAnsi="Segoe UI" w:cs="Segoe UI"/>
          <w:shd w:val="clear" w:color="auto" w:fill="FFFFFF"/>
          <w:lang w:eastAsia="fr-FR"/>
        </w:rPr>
        <w:t>qui vous paraitront adaptées et qui, dès lors, les séduiront</w:t>
      </w:r>
      <w:r w:rsidR="00E32190">
        <w:rPr>
          <w:rFonts w:ascii="Segoe UI" w:eastAsia="Times New Roman" w:hAnsi="Segoe UI" w:cs="Segoe UI"/>
          <w:shd w:val="clear" w:color="auto" w:fill="FFFFFF"/>
          <w:lang w:eastAsia="fr-FR"/>
        </w:rPr>
        <w:t>.</w:t>
      </w:r>
    </w:p>
    <w:p w14:paraId="000385F5" w14:textId="74471D97" w:rsidR="00863750" w:rsidRPr="00F726CE" w:rsidRDefault="00E32190" w:rsidP="005E133F">
      <w:pPr>
        <w:rPr>
          <w:rFonts w:ascii="Segoe UI" w:eastAsia="Times New Roman" w:hAnsi="Segoe UI" w:cs="Segoe UI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shd w:val="clear" w:color="auto" w:fill="FFFFFF"/>
          <w:lang w:eastAsia="fr-FR"/>
        </w:rPr>
        <w:br w:type="page"/>
      </w:r>
    </w:p>
    <w:p w14:paraId="4C2DB2AC" w14:textId="1A729A06" w:rsidR="007E226E" w:rsidRPr="005E133F" w:rsidRDefault="007E226E" w:rsidP="007E226E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</w:pPr>
      <w:r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lastRenderedPageBreak/>
        <w:t>Les propositions de l’appel à proje</w:t>
      </w:r>
      <w:r w:rsidR="000A6467"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>t</w:t>
      </w:r>
      <w:r w:rsidR="00EE0472"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>s</w:t>
      </w:r>
      <w:r w:rsidR="000A6467"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 xml:space="preserve"> 2024-2025</w:t>
      </w:r>
      <w:r w:rsidR="002B66BB"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> : une consultation facilitée</w:t>
      </w:r>
    </w:p>
    <w:p w14:paraId="1B8100B5" w14:textId="77777777" w:rsidR="00DA1091" w:rsidRPr="00726F94" w:rsidRDefault="00DA1091" w:rsidP="00DA1091">
      <w:pPr>
        <w:pStyle w:val="Paragraphedeliste"/>
        <w:spacing w:beforeAutospacing="1" w:after="100" w:afterAutospacing="1" w:line="240" w:lineRule="auto"/>
        <w:ind w:left="1080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fr-FR"/>
        </w:rPr>
      </w:pPr>
    </w:p>
    <w:p w14:paraId="663B9840" w14:textId="5C2E5EE0" w:rsidR="00DA1091" w:rsidRDefault="00DA1091" w:rsidP="00DA1091">
      <w:pPr>
        <w:spacing w:beforeAutospacing="1" w:after="0" w:line="240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A1091">
        <w:rPr>
          <w:rFonts w:eastAsia="Times New Roman" w:cstheme="minorHAnsi"/>
          <w:b/>
          <w:bCs/>
          <w:shd w:val="clear" w:color="auto" w:fill="FFFFFF"/>
          <w:lang w:eastAsia="fr-FR"/>
        </w:rPr>
        <w:t>Un catalogue</w:t>
      </w:r>
      <w:r w:rsidRPr="00DA1091">
        <w:rPr>
          <w:rFonts w:eastAsia="Times New Roman" w:cstheme="minorHAnsi"/>
          <w:b/>
          <w:bCs/>
          <w:i/>
          <w:iCs/>
          <w:shd w:val="clear" w:color="auto" w:fill="FFFFFF"/>
          <w:lang w:eastAsia="fr-FR"/>
        </w:rPr>
        <w:t xml:space="preserve"> </w:t>
      </w:r>
      <w:r w:rsidR="005E133F" w:rsidRPr="00DA1091">
        <w:rPr>
          <w:rFonts w:eastAsia="Times New Roman" w:cstheme="minorHAnsi"/>
          <w:b/>
          <w:bCs/>
          <w:i/>
          <w:iCs/>
          <w:shd w:val="clear" w:color="auto" w:fill="FFFFFF"/>
          <w:lang w:eastAsia="fr-FR"/>
        </w:rPr>
        <w:t>AIRTABLE</w:t>
      </w:r>
      <w:r w:rsidRPr="00DA1091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est consultable en ligne</w:t>
      </w:r>
      <w:r w:rsidRPr="00DA1091">
        <w:rPr>
          <w:rFonts w:eastAsia="Times New Roman" w:cstheme="minorHAnsi"/>
          <w:shd w:val="clear" w:color="auto" w:fill="FFFFFF"/>
          <w:lang w:eastAsia="fr-FR"/>
        </w:rPr>
        <w:t xml:space="preserve">, par </w:t>
      </w:r>
      <w:r w:rsidR="007B2BDC">
        <w:rPr>
          <w:rFonts w:eastAsia="Times New Roman" w:cstheme="minorHAnsi"/>
          <w:shd w:val="clear" w:color="auto" w:fill="FFFFFF"/>
          <w:lang w:eastAsia="fr-FR"/>
        </w:rPr>
        <w:t>les équipes pédagogiques. Il</w:t>
      </w:r>
      <w:r w:rsidRPr="00DA1091">
        <w:rPr>
          <w:rFonts w:eastAsia="Times New Roman" w:cstheme="minorHAnsi"/>
          <w:shd w:val="clear" w:color="auto" w:fill="FFFFFF"/>
          <w:lang w:eastAsia="fr-FR"/>
        </w:rPr>
        <w:t xml:space="preserve"> ne demand</w:t>
      </w:r>
      <w:r w:rsidR="007B2BDC">
        <w:rPr>
          <w:rFonts w:eastAsia="Times New Roman" w:cstheme="minorHAnsi"/>
          <w:shd w:val="clear" w:color="auto" w:fill="FFFFFF"/>
          <w:lang w:eastAsia="fr-FR"/>
        </w:rPr>
        <w:t>e</w:t>
      </w:r>
      <w:r w:rsidRPr="00DA1091">
        <w:rPr>
          <w:rFonts w:eastAsia="Times New Roman" w:cstheme="minorHAnsi"/>
          <w:shd w:val="clear" w:color="auto" w:fill="FFFFFF"/>
          <w:lang w:eastAsia="fr-FR"/>
        </w:rPr>
        <w:t xml:space="preserve"> pas d’interaction, </w:t>
      </w:r>
      <w:r>
        <w:rPr>
          <w:rFonts w:eastAsia="Times New Roman" w:cstheme="minorHAnsi"/>
          <w:shd w:val="clear" w:color="auto" w:fill="FFFFFF"/>
          <w:lang w:eastAsia="fr-FR"/>
        </w:rPr>
        <w:t>mais constitu</w:t>
      </w:r>
      <w:r w:rsidR="007B2BDC">
        <w:rPr>
          <w:rFonts w:eastAsia="Times New Roman" w:cstheme="minorHAnsi"/>
          <w:shd w:val="clear" w:color="auto" w:fill="FFFFFF"/>
          <w:lang w:eastAsia="fr-FR"/>
        </w:rPr>
        <w:t>e</w:t>
      </w:r>
      <w:r>
        <w:rPr>
          <w:rFonts w:eastAsia="Times New Roman" w:cstheme="minorHAnsi"/>
          <w:shd w:val="clear" w:color="auto" w:fill="FFFFFF"/>
          <w:lang w:eastAsia="fr-FR"/>
        </w:rPr>
        <w:t xml:space="preserve"> une base documentaire actualisée</w:t>
      </w:r>
      <w:r w:rsidR="007B2BDC">
        <w:rPr>
          <w:rFonts w:eastAsia="Times New Roman" w:cstheme="minorHAnsi"/>
          <w:shd w:val="clear" w:color="auto" w:fill="FFFFFF"/>
          <w:lang w:eastAsia="fr-FR"/>
        </w:rPr>
        <w:t xml:space="preserve"> au quotidien</w:t>
      </w:r>
      <w:r>
        <w:rPr>
          <w:rFonts w:eastAsia="Times New Roman" w:cstheme="minorHAnsi"/>
          <w:shd w:val="clear" w:color="auto" w:fill="FFFFFF"/>
          <w:lang w:eastAsia="fr-FR"/>
        </w:rPr>
        <w:t xml:space="preserve"> pour vous guider dans l’inscription à la campagne </w:t>
      </w:r>
      <w:r w:rsidRPr="005E133F">
        <w:rPr>
          <w:rFonts w:eastAsia="Times New Roman" w:cstheme="minorHAnsi"/>
          <w:i/>
          <w:iCs/>
          <w:shd w:val="clear" w:color="auto" w:fill="FFFFFF"/>
          <w:lang w:eastAsia="fr-FR"/>
        </w:rPr>
        <w:t>ADAGE</w:t>
      </w:r>
      <w:r>
        <w:rPr>
          <w:rFonts w:eastAsia="Times New Roman" w:cstheme="minorHAnsi"/>
          <w:shd w:val="clear" w:color="auto" w:fill="FFFFFF"/>
          <w:lang w:eastAsia="fr-FR"/>
        </w:rPr>
        <w:t>.</w:t>
      </w:r>
      <w:r w:rsidR="00FB778F">
        <w:rPr>
          <w:rFonts w:eastAsia="Times New Roman" w:cstheme="minorHAnsi"/>
          <w:shd w:val="clear" w:color="auto" w:fill="FFFFFF"/>
          <w:lang w:eastAsia="fr-FR"/>
        </w:rPr>
        <w:t xml:space="preserve"> </w:t>
      </w:r>
    </w:p>
    <w:p w14:paraId="72079018" w14:textId="4D582697" w:rsidR="00FB778F" w:rsidRPr="00FB778F" w:rsidRDefault="005E133F" w:rsidP="00FB778F">
      <w:pPr>
        <w:pStyle w:val="Paragraphedeliste"/>
        <w:numPr>
          <w:ilvl w:val="0"/>
          <w:numId w:val="8"/>
        </w:numPr>
        <w:spacing w:beforeAutospacing="1"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5E133F">
        <w:rPr>
          <w:rFonts w:eastAsia="Times New Roman" w:cstheme="minorHAnsi"/>
          <w:b/>
          <w:bCs/>
          <w:i/>
          <w:iCs/>
          <w:shd w:val="clear" w:color="auto" w:fill="FFFFFF"/>
          <w:lang w:eastAsia="fr-FR"/>
        </w:rPr>
        <w:t xml:space="preserve">AIRTABLE </w:t>
      </w:r>
      <w:r w:rsidR="00FB778F" w:rsidRPr="00FB778F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vous présente des </w:t>
      </w:r>
      <w:r w:rsidR="00334C02">
        <w:rPr>
          <w:rFonts w:eastAsia="Times New Roman" w:cstheme="minorHAnsi"/>
          <w:b/>
          <w:bCs/>
          <w:shd w:val="clear" w:color="auto" w:fill="FFFFFF"/>
          <w:lang w:eastAsia="fr-FR"/>
        </w:rPr>
        <w:t>« </w:t>
      </w:r>
      <w:r w:rsidR="00FB778F" w:rsidRPr="00FB778F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propositions </w:t>
      </w:r>
      <w:r w:rsidR="007B2BD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clés en mains », </w:t>
      </w:r>
      <w:r w:rsidR="00FB778F" w:rsidRPr="00FB778F">
        <w:rPr>
          <w:rFonts w:eastAsia="Times New Roman" w:cstheme="minorHAnsi"/>
          <w:b/>
          <w:bCs/>
          <w:shd w:val="clear" w:color="auto" w:fill="FFFFFF"/>
          <w:lang w:eastAsia="fr-FR"/>
        </w:rPr>
        <w:t>préparées au niveau académique avec les partenaires des collectivités et du secteur artistique, scientifique et culturel</w:t>
      </w:r>
      <w:r w:rsidR="007B2BDC">
        <w:rPr>
          <w:rFonts w:eastAsia="Times New Roman" w:cstheme="minorHAnsi"/>
          <w:b/>
          <w:bCs/>
          <w:shd w:val="clear" w:color="auto" w:fill="FFFFFF"/>
          <w:lang w:eastAsia="fr-FR"/>
        </w:rPr>
        <w:t>, ou conçues par des collectivités territoriales</w:t>
      </w:r>
      <w:r w:rsidR="00FB778F" w:rsidRPr="00FB778F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. </w:t>
      </w:r>
    </w:p>
    <w:p w14:paraId="1B6E7399" w14:textId="43D45D9E" w:rsidR="00DA1091" w:rsidRPr="00FB778F" w:rsidRDefault="00FB778F" w:rsidP="00FB778F">
      <w:pPr>
        <w:pStyle w:val="Paragraphedeliste"/>
        <w:spacing w:beforeAutospacing="1"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Ces</w:t>
      </w:r>
      <w:r w:rsidR="00DA1091" w:rsidRPr="00FB778F">
        <w:rPr>
          <w:rFonts w:eastAsia="Times New Roman" w:cstheme="minorHAnsi"/>
          <w:shd w:val="clear" w:color="auto" w:fill="FFFFFF"/>
          <w:lang w:eastAsia="fr-FR"/>
        </w:rPr>
        <w:t xml:space="preserve"> offres directes de projets et événements EAC « </w:t>
      </w:r>
      <w:r w:rsidR="005E133F">
        <w:rPr>
          <w:rFonts w:eastAsia="Times New Roman" w:cstheme="minorHAnsi"/>
          <w:shd w:val="clear" w:color="auto" w:fill="FFFFFF"/>
          <w:lang w:eastAsia="fr-FR"/>
        </w:rPr>
        <w:t>clés en main</w:t>
      </w:r>
      <w:r w:rsidR="00DA1091" w:rsidRPr="00FB778F">
        <w:rPr>
          <w:rFonts w:eastAsia="Times New Roman" w:cstheme="minorHAnsi"/>
          <w:shd w:val="clear" w:color="auto" w:fill="FFFFFF"/>
          <w:lang w:eastAsia="fr-FR"/>
        </w:rPr>
        <w:t> »</w:t>
      </w:r>
      <w:r w:rsidR="007B2BDC">
        <w:rPr>
          <w:rFonts w:eastAsia="Times New Roman" w:cstheme="minorHAnsi"/>
          <w:shd w:val="clear" w:color="auto" w:fill="FFFFFF"/>
          <w:lang w:eastAsia="fr-FR"/>
        </w:rPr>
        <w:t xml:space="preserve"> s’affichent en cadres- images</w:t>
      </w:r>
      <w:r w:rsidR="00DA1091" w:rsidRPr="00FB778F">
        <w:rPr>
          <w:rFonts w:eastAsia="Times New Roman" w:cstheme="minorHAnsi"/>
          <w:shd w:val="clear" w:color="auto" w:fill="FFFFFF"/>
          <w:lang w:eastAsia="fr-FR"/>
        </w:rPr>
        <w:t>,</w:t>
      </w:r>
      <w:r w:rsidR="007B2BDC">
        <w:rPr>
          <w:rFonts w:eastAsia="Times New Roman" w:cstheme="minorHAnsi"/>
          <w:shd w:val="clear" w:color="auto" w:fill="FFFFFF"/>
          <w:lang w:eastAsia="fr-FR"/>
        </w:rPr>
        <w:t xml:space="preserve"> accessibles</w:t>
      </w:r>
      <w:r w:rsidR="00DA1091" w:rsidRPr="00FB778F">
        <w:rPr>
          <w:rFonts w:eastAsia="Times New Roman" w:cstheme="minorHAnsi"/>
          <w:shd w:val="clear" w:color="auto" w:fill="FFFFFF"/>
          <w:lang w:eastAsia="fr-FR"/>
        </w:rPr>
        <w:t xml:space="preserve"> selon sa navigation libre, grâce aux filtres</w:t>
      </w:r>
      <w:r w:rsidR="00DA1091" w:rsidRPr="00FB778F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 </w:t>
      </w:r>
      <w:r w:rsidR="00DA1091" w:rsidRPr="00FB778F">
        <w:rPr>
          <w:rFonts w:eastAsia="Times New Roman" w:cstheme="minorHAnsi"/>
          <w:shd w:val="clear" w:color="auto" w:fill="FFFFFF"/>
          <w:lang w:eastAsia="fr-FR"/>
        </w:rPr>
        <w:t>de l’outil :</w:t>
      </w:r>
    </w:p>
    <w:p w14:paraId="3B34ACCF" w14:textId="31D3A762" w:rsidR="007B2BDC" w:rsidRPr="007B2BDC" w:rsidRDefault="007B2BDC" w:rsidP="007B2BDC">
      <w:pPr>
        <w:pStyle w:val="Paragraphedeliste"/>
        <w:numPr>
          <w:ilvl w:val="0"/>
          <w:numId w:val="11"/>
        </w:numPr>
        <w:spacing w:beforeAutospacing="1"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u w:val="single"/>
          <w:shd w:val="clear" w:color="auto" w:fill="FFFFFF"/>
          <w:lang w:eastAsia="fr-FR"/>
        </w:rPr>
        <w:t>Sélectionnez un domaine</w:t>
      </w:r>
      <w:r w:rsidR="00DA1091" w:rsidRPr="006C59CE">
        <w:rPr>
          <w:rFonts w:eastAsia="Times New Roman" w:cstheme="minorHAnsi"/>
          <w:u w:val="single"/>
          <w:shd w:val="clear" w:color="auto" w:fill="FFFFFF"/>
          <w:lang w:eastAsia="fr-FR"/>
        </w:rPr>
        <w:t xml:space="preserve"> particulier de l’EAC</w:t>
      </w:r>
      <w:r w:rsidR="00DA1091" w:rsidRPr="00F726CE">
        <w:rPr>
          <w:rFonts w:eastAsia="Times New Roman" w:cstheme="minorHAnsi"/>
          <w:shd w:val="clear" w:color="auto" w:fill="FFFFFF"/>
          <w:lang w:eastAsia="fr-FR"/>
        </w:rPr>
        <w:t xml:space="preserve"> : </w:t>
      </w:r>
      <w:r w:rsidR="00DA1091" w:rsidRPr="00863750">
        <w:rPr>
          <w:rFonts w:eastAsia="Times New Roman" w:cstheme="minorHAnsi"/>
          <w:shd w:val="clear" w:color="auto" w:fill="FFFFFF"/>
          <w:lang w:eastAsia="fr-FR"/>
        </w:rPr>
        <w:t xml:space="preserve">arts visuels et patrimoine ; cinéma et </w:t>
      </w:r>
      <w:r w:rsidR="00DA1091" w:rsidRPr="00F726CE">
        <w:rPr>
          <w:rFonts w:eastAsia="Times New Roman" w:cstheme="minorHAnsi"/>
          <w:shd w:val="clear" w:color="auto" w:fill="FFFFFF"/>
          <w:lang w:eastAsia="fr-FR"/>
        </w:rPr>
        <w:t>audiovisuel</w:t>
      </w:r>
      <w:r w:rsidR="00DA1091" w:rsidRPr="00863750">
        <w:rPr>
          <w:rFonts w:eastAsia="Times New Roman" w:cstheme="minorHAnsi"/>
          <w:shd w:val="clear" w:color="auto" w:fill="FFFFFF"/>
          <w:lang w:eastAsia="fr-FR"/>
        </w:rPr>
        <w:t xml:space="preserve"> ; culture scientifique, technique et industrielle ; histoire et mémoire ; éducation aux médias et à l'information ; livre et lecture ; mus</w:t>
      </w:r>
      <w:r w:rsidR="00D04462">
        <w:rPr>
          <w:rFonts w:eastAsia="Times New Roman" w:cstheme="minorHAnsi"/>
          <w:shd w:val="clear" w:color="auto" w:fill="FFFFFF"/>
          <w:lang w:eastAsia="fr-FR"/>
        </w:rPr>
        <w:t>ées ; musique</w:t>
      </w:r>
      <w:r w:rsidR="00DA1091" w:rsidRPr="00863750">
        <w:rPr>
          <w:rFonts w:eastAsia="Times New Roman" w:cstheme="minorHAnsi"/>
          <w:shd w:val="clear" w:color="auto" w:fill="FFFFFF"/>
          <w:lang w:eastAsia="fr-FR"/>
        </w:rPr>
        <w:t xml:space="preserve"> ; spectacles vivants </w:t>
      </w:r>
      <w:r w:rsidR="00DA1091" w:rsidRPr="00F726CE">
        <w:rPr>
          <w:rFonts w:eastAsia="Times New Roman" w:cstheme="minorHAnsi"/>
          <w:shd w:val="clear" w:color="auto" w:fill="FFFFFF"/>
          <w:lang w:eastAsia="fr-FR"/>
        </w:rPr>
        <w:t>(</w:t>
      </w:r>
      <w:r w:rsidR="00DA1091" w:rsidRPr="00863750">
        <w:rPr>
          <w:rFonts w:eastAsia="Times New Roman" w:cstheme="minorHAnsi"/>
          <w:shd w:val="clear" w:color="auto" w:fill="FFFFFF"/>
          <w:lang w:eastAsia="fr-FR"/>
        </w:rPr>
        <w:t xml:space="preserve">danse, </w:t>
      </w:r>
      <w:r w:rsidR="00DA1091" w:rsidRPr="00F726CE">
        <w:rPr>
          <w:rFonts w:eastAsia="Times New Roman" w:cstheme="minorHAnsi"/>
          <w:shd w:val="clear" w:color="auto" w:fill="FFFFFF"/>
          <w:lang w:eastAsia="fr-FR"/>
        </w:rPr>
        <w:t>théâtre</w:t>
      </w:r>
      <w:r w:rsidR="00DA1091" w:rsidRPr="00863750">
        <w:rPr>
          <w:rFonts w:eastAsia="Times New Roman" w:cstheme="minorHAnsi"/>
          <w:shd w:val="clear" w:color="auto" w:fill="FFFFFF"/>
          <w:lang w:eastAsia="fr-FR"/>
        </w:rPr>
        <w:t xml:space="preserve"> et arts du cirque</w:t>
      </w:r>
      <w:r w:rsidR="00DA1091" w:rsidRPr="00F726CE">
        <w:rPr>
          <w:rFonts w:eastAsia="Times New Roman" w:cstheme="minorHAnsi"/>
          <w:shd w:val="clear" w:color="auto" w:fill="FFFFFF"/>
          <w:lang w:eastAsia="fr-FR"/>
        </w:rPr>
        <w:t>)</w:t>
      </w:r>
      <w:r>
        <w:rPr>
          <w:rFonts w:eastAsia="Times New Roman" w:cstheme="minorHAnsi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sz w:val="28"/>
          <w:szCs w:val="28"/>
          <w:lang w:eastAsia="fr-FR"/>
        </w:rPr>
        <w:t>…</w:t>
      </w:r>
    </w:p>
    <w:p w14:paraId="58B05B7F" w14:textId="77777777" w:rsidR="00D04462" w:rsidRPr="00D04462" w:rsidRDefault="00D04462" w:rsidP="00D04462">
      <w:pPr>
        <w:pStyle w:val="Paragraphedeliste"/>
        <w:numPr>
          <w:ilvl w:val="0"/>
          <w:numId w:val="11"/>
        </w:numPr>
        <w:spacing w:beforeAutospacing="1"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u w:val="single"/>
          <w:shd w:val="clear" w:color="auto" w:fill="FFFFFF"/>
          <w:lang w:eastAsia="fr-FR"/>
        </w:rPr>
        <w:t>Sélectionnez le</w:t>
      </w:r>
      <w:r w:rsidR="00DA1091" w:rsidRPr="007B2BDC">
        <w:rPr>
          <w:rFonts w:eastAsia="Times New Roman" w:cstheme="minorHAnsi"/>
          <w:u w:val="single"/>
          <w:shd w:val="clear" w:color="auto" w:fill="FFFFFF"/>
          <w:lang w:eastAsia="fr-FR"/>
        </w:rPr>
        <w:t xml:space="preserve"> périmètre territorial exploitable </w:t>
      </w:r>
      <w:r>
        <w:rPr>
          <w:rFonts w:eastAsia="Times New Roman" w:cstheme="minorHAnsi"/>
          <w:u w:val="single"/>
          <w:shd w:val="clear" w:color="auto" w:fill="FFFFFF"/>
          <w:lang w:eastAsia="fr-FR"/>
        </w:rPr>
        <w:t>par</w:t>
      </w:r>
      <w:r w:rsidR="00DA1091" w:rsidRPr="007B2BDC">
        <w:rPr>
          <w:rFonts w:eastAsia="Times New Roman" w:cstheme="minorHAnsi"/>
          <w:u w:val="single"/>
          <w:shd w:val="clear" w:color="auto" w:fill="FFFFFF"/>
          <w:lang w:eastAsia="fr-FR"/>
        </w:rPr>
        <w:t xml:space="preserve"> l’école ou l’établissement :</w:t>
      </w:r>
      <w:r w:rsidR="00DA1091" w:rsidRPr="007B2BDC">
        <w:rPr>
          <w:rFonts w:eastAsia="Times New Roman" w:cstheme="minorHAnsi"/>
          <w:shd w:val="clear" w:color="auto" w:fill="FFFFFF"/>
          <w:lang w:eastAsia="fr-FR"/>
        </w:rPr>
        <w:t xml:space="preserve"> académie, département, groupements de communes, commune</w:t>
      </w:r>
      <w:r>
        <w:rPr>
          <w:rFonts w:eastAsia="Times New Roman" w:cstheme="minorHAnsi"/>
          <w:shd w:val="clear" w:color="auto" w:fill="FFFFFF"/>
          <w:lang w:eastAsia="fr-FR"/>
        </w:rPr>
        <w:t xml:space="preserve"> …</w:t>
      </w:r>
    </w:p>
    <w:p w14:paraId="721B1F54" w14:textId="286D4E3A" w:rsidR="007E226E" w:rsidRPr="00D04462" w:rsidRDefault="00D04462" w:rsidP="00D04462">
      <w:pPr>
        <w:pStyle w:val="Paragraphedeliste"/>
        <w:numPr>
          <w:ilvl w:val="0"/>
          <w:numId w:val="11"/>
        </w:numPr>
        <w:spacing w:beforeAutospacing="1"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D04462">
        <w:rPr>
          <w:rFonts w:eastAsia="Times New Roman" w:cstheme="minorHAnsi"/>
          <w:u w:val="single"/>
          <w:shd w:val="clear" w:color="auto" w:fill="FFFFFF"/>
          <w:lang w:eastAsia="fr-FR"/>
        </w:rPr>
        <w:t>Recherchez une</w:t>
      </w:r>
      <w:r w:rsidR="00DA1091" w:rsidRPr="00D04462">
        <w:rPr>
          <w:rFonts w:eastAsia="Times New Roman" w:cstheme="minorHAnsi"/>
          <w:u w:val="single"/>
          <w:shd w:val="clear" w:color="auto" w:fill="FFFFFF"/>
          <w:lang w:eastAsia="fr-FR"/>
        </w:rPr>
        <w:t xml:space="preserve"> nature </w:t>
      </w:r>
      <w:r>
        <w:rPr>
          <w:rFonts w:eastAsia="Times New Roman" w:cstheme="minorHAnsi"/>
          <w:u w:val="single"/>
          <w:shd w:val="clear" w:color="auto" w:fill="FFFFFF"/>
          <w:lang w:eastAsia="fr-FR"/>
        </w:rPr>
        <w:t>ou</w:t>
      </w:r>
      <w:r w:rsidR="00DA1091" w:rsidRPr="00D04462">
        <w:rPr>
          <w:rFonts w:eastAsia="Times New Roman" w:cstheme="minorHAnsi"/>
          <w:u w:val="single"/>
          <w:shd w:val="clear" w:color="auto" w:fill="FFFFFF"/>
          <w:lang w:eastAsia="fr-FR"/>
        </w:rPr>
        <w:t xml:space="preserve"> forme </w:t>
      </w:r>
      <w:r>
        <w:rPr>
          <w:rFonts w:eastAsia="Times New Roman" w:cstheme="minorHAnsi"/>
          <w:u w:val="single"/>
          <w:shd w:val="clear" w:color="auto" w:fill="FFFFFF"/>
          <w:lang w:eastAsia="fr-FR"/>
        </w:rPr>
        <w:t xml:space="preserve">spécifique </w:t>
      </w:r>
      <w:r w:rsidR="00DA1091" w:rsidRPr="00D04462">
        <w:rPr>
          <w:rFonts w:eastAsia="Times New Roman" w:cstheme="minorHAnsi"/>
          <w:u w:val="single"/>
          <w:shd w:val="clear" w:color="auto" w:fill="FFFFFF"/>
          <w:lang w:eastAsia="fr-FR"/>
        </w:rPr>
        <w:t>de l'offre</w:t>
      </w:r>
      <w:r w:rsidR="00DA1091" w:rsidRPr="00D04462">
        <w:rPr>
          <w:rFonts w:eastAsia="Times New Roman" w:cstheme="minorHAnsi"/>
          <w:shd w:val="clear" w:color="auto" w:fill="FFFFFF"/>
          <w:lang w:eastAsia="fr-FR"/>
        </w:rPr>
        <w:t> : atelier artistique ou scientifique, résidence, manifestation culturelle locale ou nationale...).</w:t>
      </w:r>
      <w:r w:rsidR="00DA1091" w:rsidRPr="00D04462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2DCBEBF1" w14:textId="0FC442E6" w:rsidR="00334C02" w:rsidRPr="00E6551F" w:rsidRDefault="00E6551F" w:rsidP="00334C02">
      <w:pPr>
        <w:spacing w:beforeAutospacing="1" w:after="100" w:afterAutospacing="1" w:line="240" w:lineRule="auto"/>
        <w:ind w:left="360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Des propositions et projets enrichiront au fil de l’eau ce catalogue, qui souhaite livrer au final l’offre la plus exhaustive possible, sous la présentation la plus facilitante.</w:t>
      </w:r>
      <w:r w:rsidR="00334C02">
        <w:rPr>
          <w:rFonts w:eastAsia="Times New Roman" w:cstheme="minorHAnsi"/>
          <w:shd w:val="clear" w:color="auto" w:fill="FFFFFF"/>
          <w:lang w:eastAsia="fr-FR"/>
        </w:rPr>
        <w:t xml:space="preserve"> Des propositions indépendantes des partenaires, non traitées sous </w:t>
      </w:r>
      <w:r w:rsidR="00334C02" w:rsidRPr="00334C02">
        <w:rPr>
          <w:rFonts w:eastAsia="Times New Roman" w:cstheme="minorHAnsi"/>
          <w:i/>
          <w:iCs/>
          <w:shd w:val="clear" w:color="auto" w:fill="FFFFFF"/>
          <w:lang w:eastAsia="fr-FR"/>
        </w:rPr>
        <w:t>ADAGE</w:t>
      </w:r>
      <w:r w:rsidR="00334C02">
        <w:rPr>
          <w:rFonts w:eastAsia="Times New Roman" w:cstheme="minorHAnsi"/>
          <w:i/>
          <w:iCs/>
          <w:shd w:val="clear" w:color="auto" w:fill="FFFFFF"/>
          <w:lang w:eastAsia="fr-FR"/>
        </w:rPr>
        <w:t> </w:t>
      </w:r>
      <w:r w:rsidR="00334C02" w:rsidRPr="00334C02">
        <w:rPr>
          <w:rFonts w:eastAsia="Times New Roman" w:cstheme="minorHAnsi"/>
          <w:shd w:val="clear" w:color="auto" w:fill="FFFFFF"/>
          <w:lang w:eastAsia="fr-FR"/>
        </w:rPr>
        <w:t>peuvent aussi y paraître.</w:t>
      </w:r>
    </w:p>
    <w:p w14:paraId="0D9D6700" w14:textId="56ACD912" w:rsidR="000A6467" w:rsidRPr="00C66BDA" w:rsidRDefault="00334C02" w:rsidP="00FB778F">
      <w:pPr>
        <w:pStyle w:val="Paragraphedeliste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Des </w:t>
      </w:r>
      <w:r w:rsidR="00C66BDA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demandes particulières des écoles et établissements peuvent toujours s’exprimer sur ADAGE, marquant son action EAC dans le moyen ou long terme (ateliers ; résidences), où exploitant une idée innovante des équipes (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« projets libres avec-ou sans demande d’accompagnement »</w:t>
      </w:r>
      <w:r w:rsidR="00C66BDA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)</w:t>
      </w:r>
      <w:r w:rsidR="00C66BDA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. </w:t>
      </w:r>
      <w:r w:rsidR="00C66BDA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U</w:t>
      </w:r>
      <w:r w:rsidR="00FB778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n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e </w:t>
      </w:r>
      <w:r w:rsid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courte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information sur</w:t>
      </w:r>
      <w:r w:rsidR="00FB778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</w:t>
      </w:r>
      <w:r w:rsidR="005E133F" w:rsidRPr="00C66BDA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fr-FR"/>
        </w:rPr>
        <w:t>AIRTABLE</w:t>
      </w:r>
      <w:r w:rsidR="00FB778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vous rappelle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donc </w:t>
      </w:r>
      <w:r w:rsidR="00FB778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que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ce</w:t>
      </w:r>
      <w:r w:rsidR="00FB778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s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initiatives</w:t>
      </w:r>
      <w:r w:rsidR="00E6551F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des écoles, groupement d’écoles, établissements ou groupements d’établissements </w:t>
      </w:r>
      <w:r w:rsidR="003605DE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feront</w:t>
      </w:r>
      <w:r w:rsid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,</w:t>
      </w:r>
      <w:r w:rsidR="003605DE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à l’issue des campagnes de saisies, </w:t>
      </w:r>
      <w:r w:rsidR="003605DE"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l’objet </w:t>
      </w:r>
      <w:r w:rsidRP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d’examen et validation</w:t>
      </w:r>
      <w:r w:rsidR="00DA1091" w:rsidRPr="00C66BDA">
        <w:rPr>
          <w:rFonts w:eastAsia="Times New Roman" w:cstheme="minorHAnsi"/>
          <w:shd w:val="clear" w:color="auto" w:fill="FFFFFF"/>
          <w:lang w:eastAsia="fr-FR"/>
        </w:rPr>
        <w:t>.</w:t>
      </w:r>
      <w:r w:rsidR="003605DE" w:rsidRPr="00C66BDA">
        <w:rPr>
          <w:rFonts w:eastAsia="Times New Roman" w:cstheme="minorHAnsi"/>
          <w:shd w:val="clear" w:color="auto" w:fill="FFFFFF"/>
          <w:lang w:eastAsia="fr-FR"/>
        </w:rPr>
        <w:t xml:space="preserve"> </w:t>
      </w:r>
    </w:p>
    <w:p w14:paraId="2DFD83C9" w14:textId="77777777" w:rsidR="00C25D17" w:rsidRPr="00C25D17" w:rsidRDefault="00C25D17" w:rsidP="00C25D17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</w:p>
    <w:p w14:paraId="4C6F19DF" w14:textId="0123934A" w:rsidR="00C25D17" w:rsidRPr="00C25D17" w:rsidRDefault="00C25D17" w:rsidP="00C25D17">
      <w:pPr>
        <w:pStyle w:val="Paragraphedeliste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Une </w:t>
      </w:r>
      <w:r w:rsid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autre </w:t>
      </w:r>
      <w:r w:rsidR="00334C02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information sur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="005E133F" w:rsidRP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AIRTABLE </w:t>
      </w:r>
      <w:r w:rsidR="002027A0" w:rsidRP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est spécifiquement </w:t>
      </w:r>
      <w:r w:rsidRP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dédiée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au 1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vertAlign w:val="superscript"/>
          <w:lang w:eastAsia="fr-FR"/>
        </w:rPr>
        <w:t>er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degré</w:t>
      </w:r>
      <w:r w:rsid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pour 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indique</w:t>
      </w:r>
      <w:r w:rsid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r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la coexistence de c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ampagne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s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départemental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e</w:t>
      </w:r>
      <w:r w:rsidRPr="00C25D1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s</w:t>
      </w:r>
      <w:r w:rsidR="002027A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, </w:t>
      </w:r>
      <w:r w:rsidRPr="00334C02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gérées par les DSDEN</w:t>
      </w:r>
      <w:r w:rsidR="002027A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Elles sont à consulter sur les sites respectifs des directions départementales</w:t>
      </w:r>
      <w:r w:rsidR="00334C02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qui peuvent vous proposer, symétriquement ou non des </w:t>
      </w:r>
      <w:r w:rsidR="005A10BE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propositions</w:t>
      </w:r>
      <w:r w:rsidR="00334C02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clés en mains, </w:t>
      </w:r>
      <w:r w:rsidR="00C66BDA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des possibilités</w:t>
      </w:r>
      <w:r w:rsidR="005A10BE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de projets d’écoles ou des offres territoriales (COTEAC : contrats territoriaux EAC notamment)</w:t>
      </w:r>
      <w:r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.</w:t>
      </w:r>
    </w:p>
    <w:p w14:paraId="4791C26E" w14:textId="4634C597" w:rsidR="000A6467" w:rsidRDefault="000A6467" w:rsidP="000A6467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718D1C07" w14:textId="49CD3D61" w:rsidR="00C66BDA" w:rsidRDefault="00C66BDA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lang w:eastAsia="fr-FR"/>
        </w:rPr>
        <w:br w:type="page"/>
      </w:r>
    </w:p>
    <w:p w14:paraId="61B899DD" w14:textId="77777777" w:rsidR="003605DE" w:rsidRPr="005E133F" w:rsidRDefault="003605DE" w:rsidP="000A6467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445BEBD8" w14:textId="45C2E2D5" w:rsidR="000A6467" w:rsidRPr="005E133F" w:rsidRDefault="000A6467" w:rsidP="000A6467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</w:pPr>
      <w:bookmarkStart w:id="0" w:name="_Hlk165991694"/>
      <w:r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 xml:space="preserve">Les modalités de participation à l’appel </w:t>
      </w:r>
      <w:r w:rsidR="00EE0472"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>à projets</w:t>
      </w:r>
      <w:r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 xml:space="preserve"> 2024-2025 </w:t>
      </w:r>
    </w:p>
    <w:bookmarkEnd w:id="0"/>
    <w:p w14:paraId="2203AB47" w14:textId="77777777" w:rsidR="0033227F" w:rsidRDefault="0033227F" w:rsidP="0033227F">
      <w:pPr>
        <w:pStyle w:val="Paragraphedeliste"/>
        <w:spacing w:beforeAutospacing="1" w:after="100" w:afterAutospacing="1" w:line="240" w:lineRule="auto"/>
        <w:ind w:left="1080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  <w:lang w:eastAsia="fr-FR"/>
        </w:rPr>
      </w:pPr>
    </w:p>
    <w:p w14:paraId="674A12BB" w14:textId="44F94FC7" w:rsidR="006D30E0" w:rsidRPr="006766A8" w:rsidRDefault="0033227F" w:rsidP="006D30E0">
      <w:pPr>
        <w:pStyle w:val="Paragraphedeliste"/>
        <w:numPr>
          <w:ilvl w:val="0"/>
          <w:numId w:val="12"/>
        </w:numPr>
        <w:rPr>
          <w:rFonts w:ascii="Calibri" w:eastAsiaTheme="minorEastAsia" w:hAnsi="Calibri" w:cs="Calibri"/>
          <w:color w:val="595959" w:themeColor="text1" w:themeTint="A6"/>
          <w:kern w:val="24"/>
          <w:sz w:val="28"/>
          <w:szCs w:val="28"/>
        </w:rPr>
      </w:pPr>
      <w:r w:rsidRPr="006D30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Si vous adhérez à une </w:t>
      </w:r>
      <w:r w:rsidR="005A10BE" w:rsidRPr="006D30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proposition académique</w:t>
      </w:r>
      <w:r w:rsidRPr="006D30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du </w:t>
      </w:r>
      <w:r w:rsidR="000A6467" w:rsidRPr="006D30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catalogue </w:t>
      </w:r>
      <w:r w:rsidR="005E133F" w:rsidRPr="006D30E0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fr-FR"/>
        </w:rPr>
        <w:t>AIRTABLE</w:t>
      </w:r>
      <w:r w:rsidRPr="006D30E0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fr-FR"/>
        </w:rPr>
        <w:t>,</w:t>
      </w:r>
      <w:r w:rsidR="005A10BE" w:rsidRPr="006D30E0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r w:rsidR="003605DE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des fiches-projets sont déclinées pour chaque offre, dont les principes et descriptions peuvent être repris </w:t>
      </w:r>
      <w:r w:rsidR="00437A73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dans les rubriques du formulaire d</w:t>
      </w:r>
      <w:r w:rsidR="003605DE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’inscription </w:t>
      </w:r>
      <w:r w:rsidR="003605DE" w:rsidRPr="006D30E0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fr-FR"/>
        </w:rPr>
        <w:t>ADAGE</w:t>
      </w:r>
      <w:r w:rsidR="003605DE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. </w:t>
      </w:r>
      <w:r w:rsidR="005A10BE" w:rsidRPr="006D30E0">
        <w:rPr>
          <w:rFonts w:eastAsia="Times New Roman" w:cstheme="minorHAnsi"/>
          <w:sz w:val="24"/>
          <w:szCs w:val="24"/>
          <w:u w:val="single"/>
          <w:shd w:val="clear" w:color="auto" w:fill="FFFFFF"/>
          <w:lang w:eastAsia="fr-FR"/>
        </w:rPr>
        <w:t>Le titre de l</w:t>
      </w:r>
      <w:r w:rsidR="006D30E0" w:rsidRPr="006D30E0">
        <w:rPr>
          <w:rFonts w:eastAsia="Times New Roman" w:cstheme="minorHAnsi"/>
          <w:sz w:val="24"/>
          <w:szCs w:val="24"/>
          <w:u w:val="single"/>
          <w:shd w:val="clear" w:color="auto" w:fill="FFFFFF"/>
          <w:lang w:eastAsia="fr-FR"/>
        </w:rPr>
        <w:t xml:space="preserve">a campagne </w:t>
      </w:r>
      <w:r w:rsidR="005A10BE" w:rsidRPr="006D30E0">
        <w:rPr>
          <w:rFonts w:eastAsia="Times New Roman" w:cstheme="minorHAnsi"/>
          <w:sz w:val="24"/>
          <w:szCs w:val="24"/>
          <w:u w:val="single"/>
          <w:shd w:val="clear" w:color="auto" w:fill="FFFFFF"/>
          <w:lang w:eastAsia="fr-FR"/>
        </w:rPr>
        <w:t xml:space="preserve">devra être recherché sur </w:t>
      </w:r>
      <w:hyperlink r:id="rId6" w:history="1">
        <w:r w:rsidR="006D30E0" w:rsidRPr="00F71FF7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ADAGE</w:t>
        </w:r>
      </w:hyperlink>
      <w:r w:rsidR="006D30E0">
        <w:rPr>
          <w:rStyle w:val="Lienhypertexte"/>
          <w:rFonts w:ascii="Calibri" w:eastAsiaTheme="minorEastAsia" w:hAnsi="Calibri" w:cs="Calibri"/>
          <w:kern w:val="24"/>
          <w:sz w:val="28"/>
          <w:szCs w:val="28"/>
        </w:rPr>
        <w:t>.</w:t>
      </w:r>
    </w:p>
    <w:p w14:paraId="0D8CE737" w14:textId="1FBD8739" w:rsidR="006D30E0" w:rsidRPr="006D30E0" w:rsidRDefault="006D30E0" w:rsidP="006D30E0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</w:p>
    <w:p w14:paraId="0527C327" w14:textId="13927244" w:rsidR="002027A0" w:rsidRPr="006D30E0" w:rsidRDefault="002027A0" w:rsidP="009E5B33">
      <w:pPr>
        <w:pStyle w:val="Paragraphedeliste"/>
        <w:numPr>
          <w:ilvl w:val="0"/>
          <w:numId w:val="10"/>
        </w:num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  <w:r w:rsidRPr="006D30E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fr-FR"/>
        </w:rPr>
        <w:t>A NOTER </w:t>
      </w:r>
      <w:r w:rsidRPr="006D30E0">
        <w:rPr>
          <w:rFonts w:eastAsia="Times New Roman" w:cstheme="minorHAnsi"/>
          <w:color w:val="4472C4" w:themeColor="accent1"/>
          <w:sz w:val="24"/>
          <w:szCs w:val="24"/>
          <w:shd w:val="clear" w:color="auto" w:fill="FFFFFF"/>
          <w:lang w:eastAsia="fr-FR"/>
        </w:rPr>
        <w:t xml:space="preserve">: </w:t>
      </w:r>
      <w:r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le feuillet de prévision financière du projet sur ADAGE est un outil relevant du pilotage budgétaire des écoles et établissements</w:t>
      </w:r>
      <w:r w:rsidR="002D4E9C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, </w:t>
      </w:r>
      <w:r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disponible pour les équipes de direction ; il n’est pas exigé par les services académiques lors du dépôt</w:t>
      </w:r>
      <w:r w:rsidR="002D4E9C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des projets</w:t>
      </w:r>
      <w:r w:rsidR="00DB26D7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sauf en cas de demande de complément de financement DAAC</w:t>
      </w:r>
      <w:r w:rsidR="002D4E9C" w:rsidRPr="006D30E0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– à la différence des autres rubriques (descriptif, classes concernées etc.). </w:t>
      </w:r>
    </w:p>
    <w:p w14:paraId="354C06CF" w14:textId="77777777" w:rsidR="002027A0" w:rsidRPr="002027A0" w:rsidRDefault="002027A0" w:rsidP="002027A0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fr-FR"/>
        </w:rPr>
      </w:pPr>
    </w:p>
    <w:p w14:paraId="503B28CB" w14:textId="0AEC8CCD" w:rsidR="003605DE" w:rsidRPr="00C66BDA" w:rsidRDefault="003605DE" w:rsidP="00C66BDA">
      <w:pPr>
        <w:pStyle w:val="Paragraphedeliste"/>
        <w:numPr>
          <w:ilvl w:val="0"/>
          <w:numId w:val="10"/>
        </w:num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fr-FR"/>
        </w:rPr>
      </w:pPr>
      <w:r w:rsidRPr="005E133F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fr-FR"/>
        </w:rPr>
        <w:t>Dans tous les cas</w:t>
      </w:r>
      <w:r w:rsidRPr="005E133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, proposition « prête à l’emploi » ou initiative de l’école ou de l’établissement, les projets peuvent solliciter un </w:t>
      </w:r>
      <w:r w:rsidR="00C66BDA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accompagnement </w:t>
      </w:r>
      <w:r w:rsidRPr="005A10B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>des DAAC :</w:t>
      </w:r>
    </w:p>
    <w:p w14:paraId="382617E0" w14:textId="06D033A2" w:rsidR="000A6467" w:rsidRPr="003605DE" w:rsidRDefault="000A6467" w:rsidP="000A6467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3605DE">
        <w:rPr>
          <w:rFonts w:eastAsia="Times New Roman" w:cstheme="minorHAnsi"/>
          <w:shd w:val="clear" w:color="auto" w:fill="FFFFFF"/>
          <w:lang w:eastAsia="fr-FR"/>
        </w:rPr>
        <w:t>Un appui en conseil, ou formation pour réussir sa démarche de projet peut être formulée</w:t>
      </w:r>
    </w:p>
    <w:p w14:paraId="279CA4EC" w14:textId="269D5F05" w:rsidR="00726F94" w:rsidRPr="00EE0472" w:rsidRDefault="000A6467" w:rsidP="000A6467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3605DE">
        <w:rPr>
          <w:rFonts w:eastAsia="Times New Roman" w:cstheme="minorHAnsi"/>
          <w:shd w:val="clear" w:color="auto" w:fill="FFFFFF"/>
          <w:lang w:eastAsia="fr-FR"/>
        </w:rPr>
        <w:t>Une</w:t>
      </w:r>
      <w:r w:rsidR="00863750" w:rsidRPr="003605DE">
        <w:rPr>
          <w:rFonts w:eastAsia="Times New Roman" w:cstheme="minorHAnsi"/>
          <w:shd w:val="clear" w:color="auto" w:fill="FFFFFF"/>
          <w:lang w:eastAsia="fr-FR"/>
        </w:rPr>
        <w:t xml:space="preserve"> demande </w:t>
      </w:r>
      <w:r w:rsidRPr="003605DE">
        <w:rPr>
          <w:rFonts w:eastAsia="Times New Roman" w:cstheme="minorHAnsi"/>
          <w:shd w:val="clear" w:color="auto" w:fill="FFFFFF"/>
          <w:lang w:eastAsia="fr-FR"/>
        </w:rPr>
        <w:t>subsidiaire d</w:t>
      </w:r>
      <w:r w:rsidR="00C66BDA">
        <w:rPr>
          <w:rFonts w:eastAsia="Times New Roman" w:cstheme="minorHAnsi"/>
          <w:shd w:val="clear" w:color="auto" w:fill="FFFFFF"/>
          <w:lang w:eastAsia="fr-FR"/>
        </w:rPr>
        <w:t xml:space="preserve">e participation </w:t>
      </w:r>
      <w:r w:rsidRPr="003605DE">
        <w:rPr>
          <w:rFonts w:eastAsia="Times New Roman" w:cstheme="minorHAnsi"/>
          <w:shd w:val="clear" w:color="auto" w:fill="FFFFFF"/>
          <w:lang w:eastAsia="fr-FR"/>
        </w:rPr>
        <w:t>en termes financiers</w:t>
      </w:r>
      <w:r w:rsidR="00863750" w:rsidRPr="003605DE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Pr="003605DE">
        <w:rPr>
          <w:rFonts w:eastAsia="Times New Roman" w:cstheme="minorHAnsi"/>
          <w:shd w:val="clear" w:color="auto" w:fill="FFFFFF"/>
          <w:lang w:eastAsia="fr-FR"/>
        </w:rPr>
        <w:t xml:space="preserve">peut être </w:t>
      </w:r>
      <w:r w:rsidR="003605DE">
        <w:rPr>
          <w:rFonts w:eastAsia="Times New Roman" w:cstheme="minorHAnsi"/>
          <w:shd w:val="clear" w:color="auto" w:fill="FFFFFF"/>
          <w:lang w:eastAsia="fr-FR"/>
        </w:rPr>
        <w:t>exprimée</w:t>
      </w:r>
      <w:r w:rsidR="00EE0472">
        <w:rPr>
          <w:rFonts w:eastAsia="Times New Roman" w:cstheme="minorHAnsi"/>
          <w:shd w:val="clear" w:color="auto" w:fill="FFFFFF"/>
          <w:lang w:eastAsia="fr-FR"/>
        </w:rPr>
        <w:t>.</w:t>
      </w:r>
    </w:p>
    <w:p w14:paraId="50497D69" w14:textId="77777777" w:rsidR="00EE0472" w:rsidRPr="00EE0472" w:rsidRDefault="00EE0472" w:rsidP="00EE0472">
      <w:pPr>
        <w:spacing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</w:p>
    <w:p w14:paraId="6F69FDE1" w14:textId="23B083F4" w:rsidR="00EE0472" w:rsidRPr="005E133F" w:rsidRDefault="00EE0472" w:rsidP="005E133F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</w:pPr>
      <w:r w:rsidRPr="005E133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fr-FR"/>
        </w:rPr>
        <w:t>Les règles de validation dans le cadre de l’appel à projet 2024-2025 </w:t>
      </w:r>
    </w:p>
    <w:p w14:paraId="0F1B708F" w14:textId="6C2D7EEA" w:rsidR="002D4E9C" w:rsidRPr="002D4E9C" w:rsidRDefault="002D4E9C" w:rsidP="00EE0472">
      <w:pPr>
        <w:spacing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2D4E9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Les projets des écoles et des établissements doivent tous être saisis dans ADAGE dans les délais de l’appel à projets 2024-2025. </w:t>
      </w:r>
    </w:p>
    <w:p w14:paraId="2B7C87D9" w14:textId="2B5E2FB8" w:rsidR="002D4E9C" w:rsidRPr="002D4E9C" w:rsidRDefault="002D4E9C" w:rsidP="00EE0472">
      <w:pPr>
        <w:spacing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2D4E9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Les IEN comme les chefs d’établissements doivent exprimer un avis sur chaque demande. Afin de ne pas invalider l’appel à projets 2024-2025, en l’absence d’expression locale de ces avis, l’échelon académique des DAAC est habilité à se substituer pour 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>en évaluer la pertinence.</w:t>
      </w:r>
    </w:p>
    <w:p w14:paraId="6A10F9DD" w14:textId="28884713" w:rsidR="002027A0" w:rsidRDefault="00726F94" w:rsidP="00EE0472">
      <w:pPr>
        <w:spacing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Des commissions départementales MEN – MCC examine</w:t>
      </w:r>
      <w:r w:rsidR="000A6467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ro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nt et valide</w:t>
      </w:r>
      <w:r w:rsidR="000A6467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ro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nt </w:t>
      </w:r>
      <w:r w:rsidR="00EE0472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les projets saisis dans </w:t>
      </w:r>
      <w:r w:rsidR="00EE0472" w:rsidRPr="005E133F">
        <w:rPr>
          <w:rFonts w:eastAsia="Times New Roman" w:cstheme="minorHAnsi"/>
          <w:b/>
          <w:bCs/>
          <w:i/>
          <w:iCs/>
          <w:color w:val="111111"/>
          <w:shd w:val="clear" w:color="auto" w:fill="FFFFFF"/>
          <w:lang w:eastAsia="fr-FR"/>
        </w:rPr>
        <w:t>ADAGE</w:t>
      </w:r>
      <w:r w:rsidR="002027A0">
        <w:rPr>
          <w:rFonts w:eastAsia="Times New Roman" w:cstheme="minorHAnsi"/>
          <w:b/>
          <w:bCs/>
          <w:i/>
          <w:iCs/>
          <w:color w:val="111111"/>
          <w:shd w:val="clear" w:color="auto" w:fill="FFFFFF"/>
          <w:lang w:eastAsia="fr-FR"/>
        </w:rPr>
        <w:t xml:space="preserve"> </w:t>
      </w:r>
      <w:r w:rsidR="002027A0" w:rsidRP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début juillet</w:t>
      </w:r>
      <w:r w:rsidR="002027A0">
        <w:rPr>
          <w:rFonts w:eastAsia="Times New Roman" w:cstheme="minorHAnsi"/>
          <w:b/>
          <w:bCs/>
          <w:i/>
          <w:iCs/>
          <w:color w:val="111111"/>
          <w:shd w:val="clear" w:color="auto" w:fill="FFFFFF"/>
          <w:lang w:eastAsia="fr-FR"/>
        </w:rPr>
        <w:t xml:space="preserve"> 2024</w:t>
      </w:r>
      <w:r w:rsidR="00EE0472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. </w:t>
      </w:r>
    </w:p>
    <w:p w14:paraId="2275848D" w14:textId="5E7F40BD" w:rsidR="002027A0" w:rsidRDefault="00EE0472" w:rsidP="002027A0">
      <w:pPr>
        <w:spacing w:beforeAutospacing="1" w:after="0" w:line="240" w:lineRule="auto"/>
        <w:ind w:left="360"/>
        <w:jc w:val="both"/>
        <w:rPr>
          <w:rFonts w:eastAsia="Times New Roman" w:cstheme="minorHAnsi"/>
          <w:color w:val="111111"/>
          <w:shd w:val="clear" w:color="auto" w:fill="FFFFFF"/>
          <w:lang w:eastAsia="fr-FR"/>
        </w:rPr>
      </w:pPr>
      <w:r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D’évidence, les </w:t>
      </w:r>
      <w:r w:rsidR="002027A0">
        <w:rPr>
          <w:rFonts w:eastAsia="Times New Roman" w:cstheme="minorHAnsi"/>
          <w:color w:val="111111"/>
          <w:shd w:val="clear" w:color="auto" w:fill="FFFFFF"/>
          <w:lang w:eastAsia="fr-FR"/>
        </w:rPr>
        <w:t>« </w:t>
      </w:r>
      <w:r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projets </w:t>
      </w:r>
      <w:r w:rsidR="002027A0">
        <w:rPr>
          <w:rFonts w:eastAsia="Times New Roman" w:cstheme="minorHAnsi"/>
          <w:color w:val="111111"/>
          <w:shd w:val="clear" w:color="auto" w:fill="FFFFFF"/>
          <w:lang w:eastAsia="fr-FR"/>
        </w:rPr>
        <w:t>libres » à l</w:t>
      </w:r>
      <w:r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>’initiative école(s) ou établissement(s) doivent respecter les</w:t>
      </w:r>
      <w:r w:rsidR="00726F94"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 principes </w:t>
      </w:r>
      <w:r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fondamentaux </w:t>
      </w:r>
      <w:r w:rsidR="00726F94"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>de l’EAC</w:t>
      </w:r>
      <w:r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 (cf. Charte de l’EAC de 2016) et si possible aux orientations des projets d’école ou d’établissement</w:t>
      </w:r>
      <w:r w:rsidRPr="00EE0472">
        <w:rPr>
          <w:rFonts w:eastAsia="Times New Roman" w:cstheme="minorHAnsi"/>
          <w:color w:val="111111"/>
          <w:shd w:val="clear" w:color="auto" w:fill="FFFFFF"/>
          <w:lang w:eastAsia="fr-FR"/>
        </w:rPr>
        <w:t>.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C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es 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« 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projets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 libres »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seront examinés </w:t>
      </w:r>
      <w:r w:rsidRPr="005E133F">
        <w:rPr>
          <w:rFonts w:eastAsia="Times New Roman" w:cstheme="minorHAnsi"/>
          <w:b/>
          <w:bCs/>
          <w:color w:val="111111"/>
          <w:u w:val="single"/>
          <w:shd w:val="clear" w:color="auto" w:fill="FFFFFF"/>
          <w:lang w:eastAsia="fr-FR"/>
        </w:rPr>
        <w:t>A L’EXCEPTION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de ceux déposés, pour 2024-2025, par d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es structures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scolaires n’ayant pas assuré le renseignement des projets réalisés dans l’année en cours 2023-2024 </w:t>
      </w:r>
      <w:r w:rsidRPr="00437A73">
        <w:rPr>
          <w:rFonts w:eastAsia="Times New Roman" w:cstheme="minorHAnsi"/>
          <w:color w:val="111111"/>
          <w:shd w:val="clear" w:color="auto" w:fill="FFFFFF"/>
          <w:lang w:eastAsia="fr-FR"/>
        </w:rPr>
        <w:t>(renseignement de l’action réalisée avec les élèves participants).</w:t>
      </w:r>
      <w:r w:rsidR="00437A73"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 </w:t>
      </w:r>
    </w:p>
    <w:p w14:paraId="11270191" w14:textId="52E3890C" w:rsidR="002027A0" w:rsidRPr="00437A73" w:rsidRDefault="00437A73" w:rsidP="002027A0">
      <w:pPr>
        <w:spacing w:beforeAutospacing="1" w:after="0" w:line="240" w:lineRule="auto"/>
        <w:ind w:left="360"/>
        <w:jc w:val="both"/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</w:pPr>
      <w:r>
        <w:rPr>
          <w:rFonts w:eastAsia="Times New Roman" w:cstheme="minorHAnsi"/>
          <w:color w:val="111111"/>
          <w:shd w:val="clear" w:color="auto" w:fill="FFFFFF"/>
          <w:lang w:eastAsia="fr-FR"/>
        </w:rPr>
        <w:t xml:space="preserve">Il est important de rappeler en effet que seul </w:t>
      </w:r>
      <w:r w:rsidRPr="00437A73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le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recensement</w:t>
      </w:r>
      <w:r w:rsidRPr="00437A73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</w:t>
      </w:r>
      <w:r w:rsidRPr="00437A73">
        <w:rPr>
          <w:rFonts w:eastAsia="Times New Roman" w:cstheme="minorHAnsi"/>
          <w:b/>
          <w:bCs/>
          <w:i/>
          <w:iCs/>
          <w:color w:val="111111"/>
          <w:shd w:val="clear" w:color="auto" w:fill="FFFFFF"/>
          <w:lang w:eastAsia="fr-FR"/>
        </w:rPr>
        <w:t>a posteriori</w:t>
      </w:r>
      <w:r w:rsidRPr="00437A73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de la bonne réalisation de l’action garantit sa visibilité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,</w:t>
      </w:r>
      <w:r w:rsidRPr="00437A73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mais surtout permet de renseigner le parcours EAC individuel de l’élève, grâce à la saisie 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de sa participation.</w:t>
      </w:r>
    </w:p>
    <w:p w14:paraId="009DE443" w14:textId="3C024EB7" w:rsidR="00EE0472" w:rsidRDefault="00EE0472" w:rsidP="00EE0472">
      <w:pPr>
        <w:spacing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D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’autre part, d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es crédits 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MEN 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seront le cas échéant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, 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répartis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>,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dans le cadre de ces commissions</w:t>
      </w:r>
      <w:r w:rsidR="002027A0"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et dans les limites de l’enveloppe allouée, </w:t>
      </w:r>
      <w:r w:rsidRPr="005E133F">
        <w:rPr>
          <w:rFonts w:eastAsia="Times New Roman" w:cstheme="minorHAnsi"/>
          <w:b/>
          <w:bCs/>
          <w:color w:val="111111"/>
          <w:u w:val="single"/>
          <w:shd w:val="clear" w:color="auto" w:fill="FFFFFF"/>
          <w:lang w:eastAsia="fr-FR"/>
        </w:rPr>
        <w:t>SOUS LA CONDITION</w:t>
      </w:r>
      <w:r>
        <w:rPr>
          <w:rFonts w:eastAsia="Times New Roman" w:cstheme="minorHAnsi"/>
          <w:b/>
          <w:bCs/>
          <w:color w:val="111111"/>
          <w:shd w:val="clear" w:color="auto" w:fill="FFFFFF"/>
          <w:lang w:eastAsia="fr-FR"/>
        </w:rPr>
        <w:t xml:space="preserve"> expresse, POUR LE SECOND DEGRE, d’absence avérée de crédits pass Culture disponibles.</w:t>
      </w:r>
    </w:p>
    <w:p w14:paraId="036CE024" w14:textId="77777777" w:rsidR="00437A73" w:rsidRDefault="00437A73" w:rsidP="00EE0472">
      <w:pPr>
        <w:spacing w:after="100" w:line="240" w:lineRule="auto"/>
        <w:ind w:left="426"/>
        <w:rPr>
          <w:rFonts w:ascii="Segoe UI" w:eastAsia="Times New Roman" w:hAnsi="Segoe UI" w:cs="Segoe UI"/>
          <w:color w:val="0000FF"/>
          <w:sz w:val="20"/>
          <w:szCs w:val="20"/>
          <w:shd w:val="clear" w:color="auto" w:fill="FFFFFF"/>
          <w:lang w:eastAsia="fr-FR"/>
        </w:rPr>
      </w:pPr>
    </w:p>
    <w:p w14:paraId="50C4E0E8" w14:textId="77777777" w:rsidR="00437A73" w:rsidRDefault="00437A73" w:rsidP="00EE0472">
      <w:pPr>
        <w:spacing w:after="100" w:line="240" w:lineRule="auto"/>
        <w:ind w:left="426"/>
        <w:rPr>
          <w:rFonts w:ascii="Segoe UI" w:eastAsia="Times New Roman" w:hAnsi="Segoe UI" w:cs="Segoe UI"/>
          <w:color w:val="0000FF"/>
          <w:sz w:val="20"/>
          <w:szCs w:val="20"/>
          <w:shd w:val="clear" w:color="auto" w:fill="FFFFFF"/>
          <w:lang w:eastAsia="fr-FR"/>
        </w:rPr>
      </w:pPr>
    </w:p>
    <w:p w14:paraId="7EE64A44" w14:textId="326BC25C" w:rsidR="005E133F" w:rsidRDefault="00437A73" w:rsidP="005E133F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t>Les délégués académiques et leurs équipes des académies de Bordeaux, Limoges et Poitiers comptent</w:t>
      </w:r>
      <w:r w:rsidR="00863750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sur votre implication en retour pour partager l'information des dates de cette campagne AAP</w:t>
      </w: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t>, e</w:t>
      </w:r>
      <w:r w:rsidR="00863750" w:rsidRPr="005E133F">
        <w:rPr>
          <w:rFonts w:ascii="Segoe UI" w:eastAsia="Times New Roman" w:hAnsi="Segoe UI" w:cs="Segoe UI"/>
          <w:shd w:val="clear" w:color="auto" w:fill="FFFFFF"/>
          <w:lang w:eastAsia="fr-FR"/>
        </w:rPr>
        <w:t>ntre l</w:t>
      </w:r>
      <w:r w:rsidR="0023257A">
        <w:rPr>
          <w:rFonts w:ascii="Segoe UI" w:eastAsia="Times New Roman" w:hAnsi="Segoe UI" w:cs="Segoe UI"/>
          <w:shd w:val="clear" w:color="auto" w:fill="FFFFFF"/>
          <w:lang w:eastAsia="fr-FR"/>
        </w:rPr>
        <w:t>a</w:t>
      </w:r>
      <w:r w:rsidR="00863750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="0023257A">
        <w:rPr>
          <w:rFonts w:ascii="Segoe UI" w:eastAsia="Times New Roman" w:hAnsi="Segoe UI" w:cs="Segoe UI"/>
          <w:color w:val="FF0000"/>
          <w:shd w:val="clear" w:color="auto" w:fill="FFFFFF"/>
          <w:lang w:eastAsia="fr-FR"/>
        </w:rPr>
        <w:t>mi-</w:t>
      </w:r>
      <w:r w:rsidR="00863750" w:rsidRPr="0023257A">
        <w:rPr>
          <w:rFonts w:ascii="Segoe UI" w:eastAsia="Times New Roman" w:hAnsi="Segoe UI" w:cs="Segoe UI"/>
          <w:color w:val="FF0000"/>
          <w:shd w:val="clear" w:color="auto" w:fill="FFFFFF"/>
          <w:lang w:eastAsia="fr-FR"/>
        </w:rPr>
        <w:t xml:space="preserve">mai et </w:t>
      </w:r>
      <w:r w:rsidR="0023257A">
        <w:rPr>
          <w:rFonts w:ascii="Segoe UI" w:eastAsia="Times New Roman" w:hAnsi="Segoe UI" w:cs="Segoe UI"/>
          <w:color w:val="FF0000"/>
          <w:shd w:val="clear" w:color="auto" w:fill="FFFFFF"/>
          <w:lang w:eastAsia="fr-FR"/>
        </w:rPr>
        <w:t>mi-</w:t>
      </w:r>
      <w:r w:rsidR="00863750" w:rsidRPr="0023257A">
        <w:rPr>
          <w:rFonts w:ascii="Segoe UI" w:eastAsia="Times New Roman" w:hAnsi="Segoe UI" w:cs="Segoe UI"/>
          <w:color w:val="FF0000"/>
          <w:shd w:val="clear" w:color="auto" w:fill="FFFFFF"/>
          <w:lang w:eastAsia="fr-FR"/>
        </w:rPr>
        <w:t>juin 2024</w:t>
      </w:r>
      <w:r w:rsidRPr="0023257A">
        <w:rPr>
          <w:rFonts w:ascii="Segoe UI" w:eastAsia="Times New Roman" w:hAnsi="Segoe UI" w:cs="Segoe UI"/>
          <w:color w:val="FF0000"/>
          <w:shd w:val="clear" w:color="auto" w:fill="FFFFFF"/>
          <w:lang w:eastAsia="fr-FR"/>
        </w:rPr>
        <w:t xml:space="preserve"> </w:t>
      </w: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t>et pour inciter chacun à se projeter dans l’intérêt de la généralisation de l’EAC au bénéfice de tous les élèves.</w:t>
      </w:r>
    </w:p>
    <w:p w14:paraId="638FD1F5" w14:textId="11F38BC4" w:rsidR="00FB778F" w:rsidRPr="005E133F" w:rsidRDefault="00863750" w:rsidP="005E133F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br/>
        <w:t>Nous vous engageons</w:t>
      </w:r>
      <w:r w:rsidR="005E133F">
        <w:rPr>
          <w:rFonts w:ascii="Segoe UI" w:eastAsia="Times New Roman" w:hAnsi="Segoe UI" w:cs="Segoe UI"/>
          <w:shd w:val="clear" w:color="auto" w:fill="FFFFFF"/>
          <w:lang w:eastAsia="fr-FR"/>
        </w:rPr>
        <w:t>,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par ailleurs</w:t>
      </w:r>
      <w:r w:rsidR="005E133F">
        <w:rPr>
          <w:rFonts w:ascii="Segoe UI" w:eastAsia="Times New Roman" w:hAnsi="Segoe UI" w:cs="Segoe UI"/>
          <w:shd w:val="clear" w:color="auto" w:fill="FFFFFF"/>
          <w:lang w:eastAsia="fr-FR"/>
        </w:rPr>
        <w:t>,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t>à visiter le site de la DAAC de votre académie pour prendre connaissance des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</w:t>
      </w:r>
      <w:r w:rsidRPr="005E133F">
        <w:rPr>
          <w:rFonts w:ascii="Segoe UI" w:eastAsia="Times New Roman" w:hAnsi="Segoe UI" w:cs="Segoe UI"/>
          <w:shd w:val="clear" w:color="auto" w:fill="FFFFFF"/>
          <w:lang w:eastAsia="fr-FR"/>
        </w:rPr>
        <w:t>organisations spécifiques de chacune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> ; et d’assurer une veille de l’actualisation d’</w:t>
      </w:r>
      <w:r w:rsidR="00437A73" w:rsidRPr="005E133F">
        <w:rPr>
          <w:rFonts w:ascii="Segoe UI" w:eastAsia="Times New Roman" w:hAnsi="Segoe UI" w:cs="Segoe UI"/>
          <w:i/>
          <w:iCs/>
          <w:shd w:val="clear" w:color="auto" w:fill="FFFFFF"/>
          <w:lang w:eastAsia="fr-FR"/>
        </w:rPr>
        <w:t>AIRTABLE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 comme d’</w:t>
      </w:r>
      <w:r w:rsidR="00437A73" w:rsidRPr="0023257A">
        <w:rPr>
          <w:rFonts w:ascii="Segoe UI" w:eastAsia="Times New Roman" w:hAnsi="Segoe UI" w:cs="Segoe UI"/>
          <w:shd w:val="clear" w:color="auto" w:fill="FFFFFF"/>
          <w:lang w:eastAsia="fr-FR"/>
        </w:rPr>
        <w:t>ADAGE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 xml:space="preserve">, jusqu’à sa </w:t>
      </w:r>
      <w:r w:rsidR="005E133F" w:rsidRPr="005E133F">
        <w:rPr>
          <w:rFonts w:ascii="Segoe UI" w:eastAsia="Times New Roman" w:hAnsi="Segoe UI" w:cs="Segoe UI"/>
          <w:shd w:val="clear" w:color="auto" w:fill="FFFFFF"/>
          <w:lang w:eastAsia="fr-FR"/>
        </w:rPr>
        <w:t>clôture</w:t>
      </w:r>
      <w:r w:rsidR="00437A73" w:rsidRPr="005E133F">
        <w:rPr>
          <w:rFonts w:ascii="Segoe UI" w:eastAsia="Times New Roman" w:hAnsi="Segoe UI" w:cs="Segoe UI"/>
          <w:shd w:val="clear" w:color="auto" w:fill="FFFFFF"/>
          <w:lang w:eastAsia="fr-FR"/>
        </w:rPr>
        <w:t>.</w:t>
      </w:r>
    </w:p>
    <w:p w14:paraId="56C84CC4" w14:textId="344560A1" w:rsidR="00863750" w:rsidRPr="00863750" w:rsidRDefault="00863750" w:rsidP="005E133F">
      <w:pPr>
        <w:spacing w:beforeAutospacing="1" w:after="100" w:afterAutospacing="1" w:line="240" w:lineRule="auto"/>
        <w:jc w:val="both"/>
        <w:rPr>
          <w:rFonts w:ascii="Segoe UI" w:eastAsia="Times New Roman" w:hAnsi="Segoe UI" w:cs="Segoe UI"/>
          <w:shd w:val="clear" w:color="auto" w:fill="FFFFFF"/>
          <w:lang w:eastAsia="fr-FR"/>
        </w:rPr>
      </w:pPr>
      <w:r w:rsidRPr="00863750">
        <w:rPr>
          <w:rFonts w:ascii="Segoe UI" w:eastAsia="Times New Roman" w:hAnsi="Segoe UI" w:cs="Segoe UI"/>
          <w:shd w:val="clear" w:color="auto" w:fill="FFFFFF"/>
          <w:lang w:eastAsia="fr-FR"/>
        </w:rPr>
        <w:t xml:space="preserve">Pour répondre à vos questions et vous accompagner dans la conception de vos projets d'EAC, les DAAC des académies de Bordeaux, Limoges et Poitiers, les </w:t>
      </w:r>
      <w:r w:rsidR="005E133F" w:rsidRPr="005E133F">
        <w:rPr>
          <w:rFonts w:ascii="Segoe UI" w:eastAsia="Times New Roman" w:hAnsi="Segoe UI" w:cs="Segoe UI"/>
          <w:shd w:val="clear" w:color="auto" w:fill="FFFFFF"/>
          <w:lang w:eastAsia="fr-FR"/>
        </w:rPr>
        <w:t>douze</w:t>
      </w:r>
      <w:r w:rsidRPr="00863750">
        <w:rPr>
          <w:rFonts w:ascii="Segoe UI" w:eastAsia="Times New Roman" w:hAnsi="Segoe UI" w:cs="Segoe UI"/>
          <w:shd w:val="clear" w:color="auto" w:fill="FFFFFF"/>
          <w:lang w:eastAsia="fr-FR"/>
        </w:rPr>
        <w:t xml:space="preserve"> DSDEN et la DRAC de Nouvelle-Aquitaine </w:t>
      </w:r>
      <w:r w:rsidR="005E133F">
        <w:rPr>
          <w:rFonts w:ascii="Segoe UI" w:eastAsia="Times New Roman" w:hAnsi="Segoe UI" w:cs="Segoe UI"/>
          <w:shd w:val="clear" w:color="auto" w:fill="FFFFFF"/>
          <w:lang w:eastAsia="fr-FR"/>
        </w:rPr>
        <w:t>vous assurent de leur écoute</w:t>
      </w:r>
      <w:r w:rsidRPr="00863750">
        <w:rPr>
          <w:rFonts w:ascii="Segoe UI" w:eastAsia="Times New Roman" w:hAnsi="Segoe UI" w:cs="Segoe UI"/>
          <w:shd w:val="clear" w:color="auto" w:fill="FFFFFF"/>
          <w:lang w:eastAsia="fr-FR"/>
        </w:rPr>
        <w:t>.</w:t>
      </w:r>
    </w:p>
    <w:p w14:paraId="1C9C52F2" w14:textId="77777777" w:rsidR="006766A8" w:rsidRDefault="006766A8">
      <w:pPr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</w:p>
    <w:p w14:paraId="22EF18DA" w14:textId="50EC844D" w:rsidR="006766A8" w:rsidRDefault="002D4E9C">
      <w:pPr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</w:pPr>
      <w:r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  <w:t xml:space="preserve">Les liens utiles à </w:t>
      </w:r>
      <w:r w:rsidR="006766A8">
        <w:rPr>
          <w:rFonts w:ascii="Calibri" w:eastAsiaTheme="minorEastAsia" w:hAnsi="Calibri" w:cs="Calibri"/>
          <w:b/>
          <w:bCs/>
          <w:i/>
          <w:iCs/>
          <w:color w:val="595959" w:themeColor="text1" w:themeTint="A6"/>
          <w:kern w:val="24"/>
          <w:sz w:val="32"/>
          <w:szCs w:val="32"/>
        </w:rPr>
        <w:t>l’accès AAP 2024-2025 :</w:t>
      </w:r>
    </w:p>
    <w:p w14:paraId="679CB10E" w14:textId="371DEEC6" w:rsidR="004D0C3A" w:rsidRPr="004D0C3A" w:rsidRDefault="00F10C49" w:rsidP="004D0C3A">
      <w:pPr>
        <w:pStyle w:val="Paragraphedeliste"/>
        <w:numPr>
          <w:ilvl w:val="0"/>
          <w:numId w:val="12"/>
        </w:numPr>
        <w:rPr>
          <w:rFonts w:ascii="Calibri" w:eastAsiaTheme="minorEastAsia" w:hAnsi="Calibri" w:cs="Calibri"/>
          <w:color w:val="595959" w:themeColor="text1" w:themeTint="A6"/>
          <w:kern w:val="24"/>
          <w:sz w:val="28"/>
          <w:szCs w:val="28"/>
        </w:rPr>
      </w:pPr>
      <w:hyperlink r:id="rId7" w:history="1">
        <w:r w:rsidR="004D0C3A" w:rsidRPr="007A31E6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 xml:space="preserve">Catalogue des dispositifs </w:t>
        </w:r>
        <w:r w:rsidR="007A335B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 xml:space="preserve">EAC de l’académie de </w:t>
        </w:r>
        <w:r w:rsidR="004D0C3A" w:rsidRPr="007A31E6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 xml:space="preserve">Bordeaux Appel à projets </w:t>
        </w:r>
        <w:r w:rsidR="0023257A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mi-</w:t>
        </w:r>
        <w:r w:rsidR="004D0C3A" w:rsidRPr="007A31E6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mai</w:t>
        </w:r>
        <w:r w:rsidR="0023257A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 xml:space="preserve"> /mi-</w:t>
        </w:r>
        <w:r w:rsidR="004D0C3A" w:rsidRPr="007A31E6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juin</w:t>
        </w:r>
      </w:hyperlink>
    </w:p>
    <w:p w14:paraId="06CD1350" w14:textId="72452F36" w:rsidR="006766A8" w:rsidRDefault="00F10C49" w:rsidP="006766A8">
      <w:pPr>
        <w:pStyle w:val="Paragraphedeliste"/>
        <w:numPr>
          <w:ilvl w:val="0"/>
          <w:numId w:val="12"/>
        </w:numPr>
        <w:rPr>
          <w:rFonts w:ascii="Calibri" w:eastAsiaTheme="minorEastAsia" w:hAnsi="Calibri" w:cs="Calibri"/>
          <w:color w:val="595959" w:themeColor="text1" w:themeTint="A6"/>
          <w:kern w:val="24"/>
          <w:sz w:val="28"/>
          <w:szCs w:val="28"/>
        </w:rPr>
      </w:pPr>
      <w:hyperlink r:id="rId8" w:history="1">
        <w:r w:rsidR="00F71FF7" w:rsidRPr="007A31E6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Catalogue des dispositifs EAC Région Académique de Nouvelle-Aquitaine</w:t>
        </w:r>
      </w:hyperlink>
    </w:p>
    <w:p w14:paraId="7402B3E2" w14:textId="5F6552C2" w:rsidR="006766A8" w:rsidRPr="006766A8" w:rsidRDefault="00F10C49" w:rsidP="006766A8">
      <w:pPr>
        <w:pStyle w:val="Paragraphedeliste"/>
        <w:numPr>
          <w:ilvl w:val="0"/>
          <w:numId w:val="12"/>
        </w:numPr>
        <w:rPr>
          <w:rFonts w:ascii="Calibri" w:eastAsiaTheme="minorEastAsia" w:hAnsi="Calibri" w:cs="Calibri"/>
          <w:color w:val="595959" w:themeColor="text1" w:themeTint="A6"/>
          <w:kern w:val="24"/>
          <w:sz w:val="28"/>
          <w:szCs w:val="28"/>
        </w:rPr>
      </w:pPr>
      <w:hyperlink r:id="rId9" w:history="1">
        <w:r w:rsidR="006766A8" w:rsidRPr="00F71FF7">
          <w:rPr>
            <w:rStyle w:val="Lienhypertexte"/>
            <w:rFonts w:ascii="Calibri" w:eastAsiaTheme="minorEastAsia" w:hAnsi="Calibri" w:cs="Calibri"/>
            <w:kern w:val="24"/>
            <w:sz w:val="28"/>
            <w:szCs w:val="28"/>
          </w:rPr>
          <w:t>ADAGE</w:t>
        </w:r>
      </w:hyperlink>
    </w:p>
    <w:p w14:paraId="1FAD73B2" w14:textId="5493E4D2" w:rsidR="005E133F" w:rsidRDefault="005E133F">
      <w:pPr>
        <w:rPr>
          <w:sz w:val="16"/>
          <w:szCs w:val="16"/>
        </w:rPr>
      </w:pPr>
    </w:p>
    <w:sectPr w:rsidR="005E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821"/>
    <w:multiLevelType w:val="hybridMultilevel"/>
    <w:tmpl w:val="E6CCE812"/>
    <w:lvl w:ilvl="0" w:tplc="A65A7E0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976"/>
    <w:multiLevelType w:val="hybridMultilevel"/>
    <w:tmpl w:val="07A6D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062"/>
    <w:multiLevelType w:val="hybridMultilevel"/>
    <w:tmpl w:val="F7122F84"/>
    <w:lvl w:ilvl="0" w:tplc="C420B7D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111111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20B06"/>
    <w:multiLevelType w:val="hybridMultilevel"/>
    <w:tmpl w:val="0BF4FD14"/>
    <w:lvl w:ilvl="0" w:tplc="8F0EA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46880"/>
    <w:multiLevelType w:val="hybridMultilevel"/>
    <w:tmpl w:val="3710E892"/>
    <w:lvl w:ilvl="0" w:tplc="C8FE31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6532"/>
    <w:multiLevelType w:val="hybridMultilevel"/>
    <w:tmpl w:val="83EC7B8E"/>
    <w:lvl w:ilvl="0" w:tplc="C420B7D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11111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5569"/>
    <w:multiLevelType w:val="hybridMultilevel"/>
    <w:tmpl w:val="67520AC6"/>
    <w:lvl w:ilvl="0" w:tplc="C7CA430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1111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2C20"/>
    <w:multiLevelType w:val="hybridMultilevel"/>
    <w:tmpl w:val="FC06F68A"/>
    <w:lvl w:ilvl="0" w:tplc="27AA3376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F00C5F"/>
    <w:multiLevelType w:val="hybridMultilevel"/>
    <w:tmpl w:val="AA98122E"/>
    <w:lvl w:ilvl="0" w:tplc="40B25D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94A7F"/>
    <w:multiLevelType w:val="hybridMultilevel"/>
    <w:tmpl w:val="2F02C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6864"/>
    <w:multiLevelType w:val="hybridMultilevel"/>
    <w:tmpl w:val="D0EEC0D2"/>
    <w:lvl w:ilvl="0" w:tplc="B7AA8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66E64"/>
    <w:multiLevelType w:val="hybridMultilevel"/>
    <w:tmpl w:val="9BE63DDC"/>
    <w:lvl w:ilvl="0" w:tplc="71568E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jE278aq8wjKh2SxFxxyuquoMbo1AfNUWUAeYGwxu+SPP6EesOumdYecTj48Nmg7fjFOEFZvErdEoIMjGdbaEg==" w:salt="gp4EhWmmghR2P1Qv/QiM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50"/>
    <w:rsid w:val="000A2BA6"/>
    <w:rsid w:val="000A6467"/>
    <w:rsid w:val="00122270"/>
    <w:rsid w:val="00131B9D"/>
    <w:rsid w:val="002027A0"/>
    <w:rsid w:val="0023257A"/>
    <w:rsid w:val="00242A0C"/>
    <w:rsid w:val="00277FD1"/>
    <w:rsid w:val="002A747F"/>
    <w:rsid w:val="002B66BB"/>
    <w:rsid w:val="002D4E9C"/>
    <w:rsid w:val="0033227F"/>
    <w:rsid w:val="00334C02"/>
    <w:rsid w:val="003605DE"/>
    <w:rsid w:val="00437A73"/>
    <w:rsid w:val="004A3C6D"/>
    <w:rsid w:val="004D0C3A"/>
    <w:rsid w:val="005A10BE"/>
    <w:rsid w:val="005D7632"/>
    <w:rsid w:val="005E133F"/>
    <w:rsid w:val="006766A8"/>
    <w:rsid w:val="006C59CE"/>
    <w:rsid w:val="006D30E0"/>
    <w:rsid w:val="00726F94"/>
    <w:rsid w:val="007A31E6"/>
    <w:rsid w:val="007A335B"/>
    <w:rsid w:val="007B2BDC"/>
    <w:rsid w:val="007C2FDE"/>
    <w:rsid w:val="007E226E"/>
    <w:rsid w:val="00863750"/>
    <w:rsid w:val="00885EDE"/>
    <w:rsid w:val="00895731"/>
    <w:rsid w:val="008B19C3"/>
    <w:rsid w:val="00A14823"/>
    <w:rsid w:val="00A261CD"/>
    <w:rsid w:val="00A30264"/>
    <w:rsid w:val="00A62C37"/>
    <w:rsid w:val="00C25D17"/>
    <w:rsid w:val="00C66BDA"/>
    <w:rsid w:val="00D04462"/>
    <w:rsid w:val="00DA1091"/>
    <w:rsid w:val="00DB26D7"/>
    <w:rsid w:val="00E32190"/>
    <w:rsid w:val="00E34DA0"/>
    <w:rsid w:val="00E6551F"/>
    <w:rsid w:val="00EE0472"/>
    <w:rsid w:val="00F141E9"/>
    <w:rsid w:val="00F71FF7"/>
    <w:rsid w:val="00F726CE"/>
    <w:rsid w:val="00FB778F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BD4D"/>
  <w15:chartTrackingRefBased/>
  <w15:docId w15:val="{9E0E6C1A-2722-4A81-B63C-3944F87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42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2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E49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96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42A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32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8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95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15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q0kV84OaKnNWXE/shrletIGsGyyEhm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rtable.com/appq0kV84OaKnNWXE/shropzq9wHrzQQ7S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ilrh.ac-bordeaux.fr/login/ct_logon_mixte.jsp?CT_ORIG_URL=%2Farena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ilrh.ac-bordeaux.fr/login/ct_logon_mixte.jsp?CT_ORIG_URL=%2Farena%2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1232</Words>
  <Characters>6781</Characters>
  <Application>Microsoft Office Word</Application>
  <DocSecurity>8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Coquelin Anne-Elisabeth</dc:creator>
  <cp:keywords/>
  <dc:description/>
  <cp:lastModifiedBy>catherine pierson</cp:lastModifiedBy>
  <cp:revision>12</cp:revision>
  <dcterms:created xsi:type="dcterms:W3CDTF">2024-05-14T16:19:00Z</dcterms:created>
  <dcterms:modified xsi:type="dcterms:W3CDTF">2024-05-16T10:04:00Z</dcterms:modified>
</cp:coreProperties>
</file>